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Style w:val="9"/>
          <w:rFonts w:hint="default" w:ascii="Times New Roman" w:hAnsi="Times New Roman" w:eastAsia="方正小标宋简体" w:cs="Times New Roman"/>
          <w:b w:val="0"/>
          <w:bCs w:val="0"/>
          <w:i w:val="0"/>
          <w:iCs w:val="0"/>
          <w:caps w:val="0"/>
          <w:color w:val="000000" w:themeColor="text1"/>
          <w:spacing w:val="0"/>
          <w:sz w:val="44"/>
          <w:szCs w:val="44"/>
          <w:highlight w:val="none"/>
          <w:shd w:val="clear" w:fill="FFFFFF"/>
          <w:lang w:val="en-US" w:eastAsia="zh-CN"/>
          <w14:textFill>
            <w14:solidFill>
              <w14:schemeClr w14:val="tx1"/>
            </w14:solidFill>
          </w14:textFill>
        </w:rPr>
      </w:pPr>
      <w:r>
        <w:rPr>
          <w:rStyle w:val="9"/>
          <w:rFonts w:hint="default" w:ascii="Times New Roman" w:hAnsi="Times New Roman" w:eastAsia="方正小标宋简体" w:cs="Times New Roman"/>
          <w:b w:val="0"/>
          <w:bCs w:val="0"/>
          <w:i w:val="0"/>
          <w:iCs w:val="0"/>
          <w:caps w:val="0"/>
          <w:color w:val="000000" w:themeColor="text1"/>
          <w:spacing w:val="0"/>
          <w:sz w:val="44"/>
          <w:szCs w:val="44"/>
          <w:highlight w:val="none"/>
          <w:shd w:val="clear" w:fill="FFFFFF"/>
          <w:lang w:val="en-US" w:eastAsia="zh-CN"/>
          <w14:textFill>
            <w14:solidFill>
              <w14:schemeClr w14:val="tx1"/>
            </w14:solidFill>
          </w14:textFill>
        </w:rPr>
        <w:t>金水区高效统筹疫情防控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Style w:val="9"/>
          <w:rFonts w:hint="default" w:ascii="Times New Roman" w:hAnsi="Times New Roman" w:eastAsia="方正小标宋简体" w:cs="Times New Roman"/>
          <w:b w:val="0"/>
          <w:bCs w:val="0"/>
          <w:i w:val="0"/>
          <w:iCs w:val="0"/>
          <w:caps w:val="0"/>
          <w:color w:val="000000" w:themeColor="text1"/>
          <w:spacing w:val="0"/>
          <w:sz w:val="44"/>
          <w:szCs w:val="44"/>
          <w:highlight w:val="none"/>
          <w:shd w:val="clear" w:fill="FFFFFF"/>
          <w:lang w:val="en-US" w:eastAsia="zh-CN"/>
          <w14:textFill>
            <w14:solidFill>
              <w14:schemeClr w14:val="tx1"/>
            </w14:solidFill>
          </w14:textFill>
        </w:rPr>
      </w:pPr>
      <w:r>
        <w:rPr>
          <w:rStyle w:val="9"/>
          <w:rFonts w:hint="default" w:ascii="Times New Roman" w:hAnsi="Times New Roman" w:eastAsia="方正小标宋简体" w:cs="Times New Roman"/>
          <w:b w:val="0"/>
          <w:bCs w:val="0"/>
          <w:i w:val="0"/>
          <w:iCs w:val="0"/>
          <w:caps w:val="0"/>
          <w:color w:val="000000" w:themeColor="text1"/>
          <w:spacing w:val="0"/>
          <w:sz w:val="44"/>
          <w:szCs w:val="44"/>
          <w:highlight w:val="none"/>
          <w:shd w:val="clear" w:fill="FFFFFF"/>
          <w:lang w:val="en-US" w:eastAsia="zh-CN"/>
          <w14:textFill>
            <w14:solidFill>
              <w14:schemeClr w14:val="tx1"/>
            </w14:solidFill>
          </w14:textFill>
        </w:rPr>
        <w:t>和经济社会发展若干政策措施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Style w:val="9"/>
          <w:rFonts w:hint="default" w:ascii="Times New Roman" w:hAnsi="Times New Roman" w:eastAsia="楷体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r>
        <w:rPr>
          <w:rStyle w:val="9"/>
          <w:rFonts w:hint="eastAsia" w:ascii="Times New Roman" w:hAnsi="Times New Roman" w:eastAsia="楷体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(征求意见稿）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Style w:val="9"/>
          <w:rFonts w:hint="default" w:ascii="Times New Roman" w:hAnsi="Times New Roman" w:eastAsia="楷体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bookmarkStart w:id="0" w:name="_GoBack"/>
      <w:bookmarkEnd w:id="0"/>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为深入贯彻全国稳住经济大盘会议精神，全面落实中央、省、市、区各项决策部署，全面把牢“疫情要防住、经济要稳住、发展要安全”的重大要求，进一步深化“万人助万企”和“三个一批”活动，进一步加大助企惠企力度，高效统筹疫情防控和经济社会发展，积极营造“平稳、健康、安全、有序”的发展氛围，持续扮靓“金质”营商环境，努力实现“双战双赢”，结合金水区实际，制定《金水区高效统筹疫情防控和经济社会发展若干政策措施》（简称“抗疫助企26条”）。</w:t>
      </w:r>
    </w:p>
    <w:p>
      <w:pPr>
        <w:pStyle w:val="3"/>
        <w:keepNext w:val="0"/>
        <w:keepLines w:val="0"/>
        <w:pageBreakBefore w:val="0"/>
        <w:numPr>
          <w:ilvl w:val="0"/>
          <w:numId w:val="1"/>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黑体"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default" w:ascii="Times New Roman" w:hAnsi="Times New Roman" w:eastAsia="黑体"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持续做好常态化疫情防控</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Style w:val="9"/>
          <w:rFonts w:hint="default" w:ascii="Times New Roman" w:hAnsi="Times New Roman" w:eastAsia="楷体_GB2312" w:cs="Times New Roman"/>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1、织密常态化疫情防控安全网。</w:t>
      </w:r>
      <w:r>
        <w:rPr>
          <w:rFonts w:hint="default" w:ascii="Times New Roman" w:hAnsi="Times New Roman" w:eastAsia="仿宋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建立常态化核酸检测机制，在大型工业企业、建筑工地、商超、农批农贸市场、电商园区、交通场站等地点统一设置“核酸采样小屋”，构建步行“15分钟核酸检测采样圈”，为员工群众提供就近便捷免费的检测服务。实现各类公共场所“场所码”全覆盖，对有多个入口的商场、超市、酒店、写字楼等场所要做到一门一码、一点一码、应设尽设、应扫尽扫。推动平疫结合的集中隔离点建设，强化应急准备。</w:t>
      </w:r>
      <w:r>
        <w:rPr>
          <w:rFonts w:hint="default" w:ascii="Times New Roman" w:hAnsi="Times New Roman" w:eastAsia="楷体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（责任单位：区疫情防控指挥部）</w:t>
      </w:r>
    </w:p>
    <w:p>
      <w:pPr>
        <w:pStyle w:val="3"/>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仿宋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Style w:val="9"/>
          <w:rFonts w:hint="default" w:ascii="Times New Roman" w:hAnsi="Times New Roman" w:eastAsia="楷体_GB2312" w:cs="Times New Roman"/>
          <w:b/>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2、支持住宿餐饮业企业做好防疫工作。</w:t>
      </w:r>
      <w:r>
        <w:rPr>
          <w:rFonts w:hint="default" w:ascii="Times New Roman" w:hAnsi="Times New Roman" w:eastAsia="仿宋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对购买防疫物资严守防疫防线的限额以上住宿餐饮业企业，给予一次性购买金额50%补贴，单个企业最高不超过3000元。</w:t>
      </w:r>
      <w:r>
        <w:rPr>
          <w:rFonts w:hint="default" w:ascii="Times New Roman" w:hAnsi="Times New Roman" w:eastAsia="楷体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（责任单位：区商务局）</w:t>
      </w:r>
    </w:p>
    <w:p>
      <w:pPr>
        <w:pStyle w:val="3"/>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楷体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Style w:val="9"/>
          <w:rFonts w:hint="default" w:ascii="Times New Roman" w:hAnsi="Times New Roman" w:eastAsia="楷体_GB2312" w:cs="Times New Roman"/>
          <w:b/>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3、加大零售业企业防疫支出补贴</w:t>
      </w:r>
      <w:r>
        <w:rPr>
          <w:rFonts w:hint="default" w:ascii="Times New Roman" w:hAnsi="Times New Roman" w:eastAsia="仿宋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。对单个经营场地达到5000平以上，或连锁经营企业总经营场地达到2万平以上的限额以上零售业企业购买防疫物资严守防疫防线的，凭</w:t>
      </w:r>
      <w:r>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《郑州市民生保供企业资质证明》，当季</w:t>
      </w:r>
      <w:r>
        <w:rPr>
          <w:rFonts w:hint="default" w:ascii="Times New Roman" w:hAnsi="Times New Roman" w:eastAsia="仿宋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给予一次性购买金额50%的补贴，单个企业年累计不超过30万元。</w:t>
      </w:r>
      <w:r>
        <w:rPr>
          <w:rFonts w:hint="default" w:ascii="Times New Roman" w:hAnsi="Times New Roman" w:eastAsia="楷体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（责任单位：区商务局）</w:t>
      </w:r>
    </w:p>
    <w:p>
      <w:pPr>
        <w:pStyle w:val="3"/>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r>
        <w:rPr>
          <w:rStyle w:val="9"/>
          <w:rFonts w:hint="default" w:ascii="Times New Roman" w:hAnsi="Times New Roman" w:eastAsia="楷体_GB2312" w:cs="Times New Roman"/>
          <w:b/>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4、支持交通物流业加大防疫保障。</w:t>
      </w:r>
      <w:r>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对购买防疫物资用于防疫保障的交通物流业企业，凭《郑州市民生保供企业资质证明》，当季给予一次性购买金额50%补贴，单个企业年累计不超过5万元。（</w:t>
      </w:r>
      <w:r>
        <w:rPr>
          <w:rFonts w:hint="default" w:ascii="Times New Roman" w:hAnsi="Times New Roman" w:eastAsia="楷体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责任单位：区交通局）</w:t>
      </w:r>
    </w:p>
    <w:p>
      <w:pPr>
        <w:pStyle w:val="3"/>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楷体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default" w:ascii="Times New Roman" w:hAnsi="Times New Roman" w:eastAsia="楷体_GB2312" w:cs="Times New Roman"/>
          <w:b/>
          <w:bCs/>
          <w:color w:val="000000" w:themeColor="text1"/>
          <w:kern w:val="2"/>
          <w:sz w:val="32"/>
          <w:szCs w:val="32"/>
          <w:highlight w:val="none"/>
          <w:lang w:val="en-US" w:eastAsia="zh-CN" w:bidi="ar-SA"/>
          <w14:textFill>
            <w14:solidFill>
              <w14:schemeClr w14:val="tx1"/>
            </w14:solidFill>
          </w14:textFill>
        </w:rPr>
        <w:t>5、给予在建项目防疫补贴。</w:t>
      </w:r>
      <w:r>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对疫情防控期间闭环管理不停工的重点在建项目（工地）购买防疫物资</w:t>
      </w:r>
      <w:r>
        <w:rPr>
          <w:rFonts w:hint="default" w:ascii="Times New Roman" w:hAnsi="Times New Roman" w:eastAsia="仿宋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严守防疫防线</w:t>
      </w:r>
      <w:r>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的，当季给予一次性购买金额50%补贴，单个项目年累计最高不超过5万元。（</w:t>
      </w:r>
      <w:r>
        <w:rPr>
          <w:rFonts w:hint="default" w:ascii="Times New Roman" w:hAnsi="Times New Roman" w:eastAsia="楷体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责任单位：区重点项目服务中心）</w:t>
      </w:r>
    </w:p>
    <w:p>
      <w:pPr>
        <w:pStyle w:val="3"/>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楷体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default" w:ascii="Times New Roman" w:hAnsi="Times New Roman" w:eastAsia="楷体_GB2312" w:cs="Times New Roman"/>
          <w:b/>
          <w:bCs/>
          <w:color w:val="000000" w:themeColor="text1"/>
          <w:kern w:val="2"/>
          <w:sz w:val="32"/>
          <w:szCs w:val="32"/>
          <w:highlight w:val="none"/>
          <w:lang w:val="en-US" w:eastAsia="zh-CN" w:bidi="ar-SA"/>
          <w14:textFill>
            <w14:solidFill>
              <w14:schemeClr w14:val="tx1"/>
            </w14:solidFill>
          </w14:textFill>
        </w:rPr>
        <w:t>6、鼓励扩大防疫保险服务覆盖面</w:t>
      </w:r>
      <w:r>
        <w:rPr>
          <w:rFonts w:hint="default" w:ascii="Times New Roman" w:hAnsi="Times New Roman" w:eastAsia="楷体_GB2312" w:cs="Times New Roman"/>
          <w:b/>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鼓励保险机构扩大服务范围，丰富市场主体抗疫保险产品供给，扩展新冠肺炎保险保障责任，扩大企业因疫情导致营业中断等风险保障的覆盖面；</w:t>
      </w:r>
      <w:r>
        <w:rPr>
          <w:rFonts w:hint="default" w:ascii="Times New Roman" w:hAnsi="Times New Roman" w:eastAsia="仿宋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加强抗疫保险保障服务，建立保险理赔绿色通道，提高理赔效率。</w:t>
      </w:r>
      <w:r>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w:t>
      </w:r>
      <w:r>
        <w:rPr>
          <w:rFonts w:hint="default" w:ascii="Times New Roman" w:hAnsi="Times New Roman" w:eastAsia="楷体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责任单位：区金融工作服务中心）</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黑体"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default" w:ascii="Times New Roman" w:hAnsi="Times New Roman" w:eastAsia="黑体"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二、持续激发市场活力</w:t>
      </w:r>
    </w:p>
    <w:p>
      <w:pPr>
        <w:pStyle w:val="3"/>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sz w:val="32"/>
          <w:szCs w:val="32"/>
          <w:highlight w:val="none"/>
          <w:shd w:val="clear" w:fill="FFFFFF"/>
          <w:lang w:val="en-US" w:eastAsia="zh-CN"/>
          <w14:textFill>
            <w14:solidFill>
              <w14:schemeClr w14:val="tx1"/>
            </w14:solidFill>
          </w14:textFill>
        </w:rPr>
        <w:t>7、强化“个转企”政策扶持。</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建立“个转企”重点培育库，结合企业特点和市场主体实际情况分类指导、精准帮扶、有序推进。开通“个转企”登记绿色通道，降低准入门槛，推行企业住所（经营场所）申报承诺制度，开展证照联办、并联审批，实现企业开办“一日办结”。首次“个转企”企业凭《个体工商户转型升级为企业证明》，到所在街道办申领填报“法人单位基本情况表”，依法依规填报后给予一次性3000元奖励。</w:t>
      </w:r>
      <w:r>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w:t>
      </w:r>
      <w:r>
        <w:rPr>
          <w:rFonts w:hint="default" w:ascii="Times New Roman" w:hAnsi="Times New Roman" w:eastAsia="楷体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责任单位：区市场监管局）</w:t>
      </w:r>
    </w:p>
    <w:p>
      <w:pPr>
        <w:pStyle w:val="3"/>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楷体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sz w:val="32"/>
          <w:szCs w:val="32"/>
          <w:highlight w:val="none"/>
          <w:shd w:val="clear" w:fill="FFFFFF"/>
          <w:lang w:val="en-US" w:eastAsia="zh-CN"/>
          <w14:textFill>
            <w14:solidFill>
              <w14:schemeClr w14:val="tx1"/>
            </w14:solidFill>
          </w14:textFill>
        </w:rPr>
        <w:t>8、加大“小升规”奖励制度。</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建立“小升规”企业培育库，实施“一对一”精准对接服务，提供统计入库知识等方面辅导。在郑州市“小升规”奖励政策的基础上，加大区级配套支持。对首次入“四上”库的工业企业、资质等级建筑和房地产开发经营企业、限额以上批零住餐业企业、规模以上服务业企业给予一次性3万元奖励。对依法依规及时上报统计数据信息且在库一年以上的“四上”报表企业，每年给予统计工作人员2000元工作补助。</w:t>
      </w:r>
      <w:r>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w:t>
      </w:r>
      <w:r>
        <w:rPr>
          <w:rFonts w:hint="default" w:ascii="Times New Roman" w:hAnsi="Times New Roman" w:eastAsia="楷体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责任单位：区统计局）</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highlight w:val="none"/>
          <w:shd w:val="clear" w:fill="FFFFFF"/>
          <w:lang w:val="en-US" w:eastAsia="zh-CN"/>
          <w14:textFill>
            <w14:solidFill>
              <w14:schemeClr w14:val="tx1"/>
            </w14:solidFill>
          </w14:textFill>
        </w:rPr>
        <w:t>9、</w:t>
      </w:r>
      <w:r>
        <w:rPr>
          <w:rFonts w:hint="default" w:ascii="Times New Roman" w:hAnsi="Times New Roman" w:eastAsia="楷体_GB2312" w:cs="Times New Roman"/>
          <w:b/>
          <w:bCs/>
          <w:i w:val="0"/>
          <w:iCs w:val="0"/>
          <w:caps w:val="0"/>
          <w:color w:val="000000" w:themeColor="text1"/>
          <w:spacing w:val="0"/>
          <w:sz w:val="32"/>
          <w:szCs w:val="32"/>
          <w:highlight w:val="none"/>
          <w:shd w:val="clear" w:fill="FFFFFF"/>
          <w:lang w:val="en-US" w:eastAsia="zh-CN"/>
          <w14:textFill>
            <w14:solidFill>
              <w14:schemeClr w14:val="tx1"/>
            </w14:solidFill>
          </w14:textFill>
        </w:rPr>
        <w:t>支持“优质企业”落户。</w:t>
      </w:r>
      <w:r>
        <w:rPr>
          <w:rFonts w:hint="default"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支持区外“四上”企业迁入金水，在我区完成注册登记后，一次性奖励10万元；支持“行业龙头企业”、“独角兽企业”等重点企业在金水设立符合产业发展方向的子公司或合资公司，在我区完成登记注册后，一次性奖励15万元。企业落户后截至2022年末新增区级经济发展贡献达到200万元以上（含）、500万元以下的企业，按其区级经济发展贡献的20%给予一次性奖励；对区级经济贡献超过500万元</w:t>
      </w:r>
      <w:r>
        <w:rPr>
          <w:rFonts w:hint="eastAsia"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及</w:t>
      </w:r>
      <w:r>
        <w:rPr>
          <w:rFonts w:hint="default"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以上的企业，研究制定专项奖励扶持政策。</w:t>
      </w:r>
      <w:r>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w:t>
      </w:r>
      <w:r>
        <w:rPr>
          <w:rFonts w:hint="default" w:ascii="Times New Roman" w:hAnsi="Times New Roman" w:eastAsia="楷体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责任单位：区商务局）</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sz w:val="32"/>
          <w:szCs w:val="32"/>
          <w:highlight w:val="none"/>
          <w:shd w:val="clear" w:fill="FFFFFF"/>
          <w:lang w:val="en-US" w:eastAsia="zh-CN"/>
          <w14:textFill>
            <w14:solidFill>
              <w14:schemeClr w14:val="tx1"/>
            </w14:solidFill>
          </w14:textFill>
        </w:rPr>
        <w:t>10、支持科技成果转移转化。</w:t>
      </w:r>
      <w:r>
        <w:rPr>
          <w:rFonts w:hint="default"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支持在金水区注册的高校、科研院所、新型研发机构、企业等主体开展科技成果转移转化。凡2022年当年签订的技术合同，经技术合同登记机构认定登记后，对其当年认定的技术合同技术交易额的实际到账额进行补助。单件技术合同技术交易额实际到账100万元（含）以上、500万元（含）以上、1000万元（含）以上的，当季分别给一次性3万元、5万元、10万元</w:t>
      </w:r>
      <w:r>
        <w:rPr>
          <w:rFonts w:hint="eastAsia"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补助。</w:t>
      </w:r>
      <w:r>
        <w:rPr>
          <w:rFonts w:hint="default"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同一单位</w:t>
      </w:r>
      <w:r>
        <w:rPr>
          <w:rFonts w:hint="eastAsia"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年累计</w:t>
      </w:r>
      <w:r>
        <w:rPr>
          <w:rFonts w:hint="default"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奖励</w:t>
      </w:r>
      <w:r>
        <w:rPr>
          <w:rFonts w:hint="eastAsia"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不超过</w:t>
      </w:r>
      <w:r>
        <w:rPr>
          <w:rFonts w:hint="default"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20万元。</w:t>
      </w:r>
      <w:r>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w:t>
      </w:r>
      <w:r>
        <w:rPr>
          <w:rFonts w:hint="default" w:ascii="Times New Roman" w:hAnsi="Times New Roman" w:eastAsia="楷体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责任单位：区科技局）</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val="0"/>
          <w:bCs w:val="0"/>
          <w:i w:val="0"/>
          <w:iCs w:val="0"/>
          <w:caps w:val="0"/>
          <w:color w:val="000000" w:themeColor="text1"/>
          <w:spacing w:val="0"/>
          <w:kern w:val="2"/>
          <w:sz w:val="32"/>
          <w:szCs w:val="32"/>
          <w:highlight w:val="none"/>
          <w:shd w:val="clear" w:fill="FFFFFF"/>
          <w:lang w:val="en-US" w:eastAsia="zh-CN" w:bidi="ar-SA"/>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sz w:val="32"/>
          <w:szCs w:val="32"/>
          <w:highlight w:val="none"/>
          <w:shd w:val="clear" w:fill="FFFFFF"/>
          <w:lang w:val="en-US" w:eastAsia="zh-CN"/>
          <w14:textFill>
            <w14:solidFill>
              <w14:schemeClr w14:val="tx1"/>
            </w14:solidFill>
          </w14:textFill>
        </w:rPr>
        <w:t>11、推动“软件和信息技术服务业”做大做强。</w:t>
      </w:r>
      <w:r>
        <w:rPr>
          <w:rFonts w:hint="default" w:ascii="Times New Roman" w:hAnsi="Times New Roman" w:eastAsia="仿宋_GB2312" w:cs="Times New Roman"/>
          <w:b w:val="0"/>
          <w:bCs w:val="0"/>
          <w:i w:val="0"/>
          <w:iCs w:val="0"/>
          <w:caps w:val="0"/>
          <w:color w:val="000000" w:themeColor="text1"/>
          <w:spacing w:val="0"/>
          <w:kern w:val="2"/>
          <w:sz w:val="32"/>
          <w:szCs w:val="32"/>
          <w:highlight w:val="none"/>
          <w:shd w:val="clear" w:fill="FFFFFF"/>
          <w:lang w:val="en-US" w:eastAsia="zh-CN" w:bidi="ar-SA"/>
          <w14:textFill>
            <w14:solidFill>
              <w14:schemeClr w14:val="tx1"/>
            </w14:solidFill>
          </w14:textFill>
        </w:rPr>
        <w:t>软件和信息技术服务业企业当季止累计营业收入增速超过全区平均水平15个百分点（含）以上，且当季营收分别达到2000万元（含）</w:t>
      </w:r>
      <w:r>
        <w:rPr>
          <w:rFonts w:hint="eastAsia" w:ascii="Times New Roman" w:hAnsi="Times New Roman" w:eastAsia="仿宋_GB2312" w:cs="Times New Roman"/>
          <w:b w:val="0"/>
          <w:bCs w:val="0"/>
          <w:i w:val="0"/>
          <w:iCs w:val="0"/>
          <w:caps w:val="0"/>
          <w:color w:val="000000" w:themeColor="text1"/>
          <w:spacing w:val="0"/>
          <w:kern w:val="2"/>
          <w:sz w:val="32"/>
          <w:szCs w:val="32"/>
          <w:highlight w:val="none"/>
          <w:shd w:val="clear" w:fill="FFFFFF"/>
          <w:lang w:val="en-US" w:eastAsia="zh-CN" w:bidi="ar-SA"/>
          <w14:textFill>
            <w14:solidFill>
              <w14:schemeClr w14:val="tx1"/>
            </w14:solidFill>
          </w14:textFill>
        </w:rPr>
        <w:t>以上</w:t>
      </w:r>
      <w:r>
        <w:rPr>
          <w:rFonts w:hint="default" w:ascii="Times New Roman" w:hAnsi="Times New Roman" w:eastAsia="仿宋_GB2312" w:cs="Times New Roman"/>
          <w:b w:val="0"/>
          <w:bCs w:val="0"/>
          <w:i w:val="0"/>
          <w:iCs w:val="0"/>
          <w:caps w:val="0"/>
          <w:color w:val="000000" w:themeColor="text1"/>
          <w:spacing w:val="0"/>
          <w:kern w:val="2"/>
          <w:sz w:val="32"/>
          <w:szCs w:val="32"/>
          <w:highlight w:val="none"/>
          <w:shd w:val="clear" w:fill="FFFFFF"/>
          <w:lang w:val="en-US" w:eastAsia="zh-CN" w:bidi="ar-SA"/>
          <w14:textFill>
            <w14:solidFill>
              <w14:schemeClr w14:val="tx1"/>
            </w14:solidFill>
          </w14:textFill>
        </w:rPr>
        <w:t>、5000万元（含）</w:t>
      </w:r>
      <w:r>
        <w:rPr>
          <w:rFonts w:hint="eastAsia" w:ascii="Times New Roman" w:hAnsi="Times New Roman" w:eastAsia="仿宋_GB2312" w:cs="Times New Roman"/>
          <w:b w:val="0"/>
          <w:bCs w:val="0"/>
          <w:i w:val="0"/>
          <w:iCs w:val="0"/>
          <w:caps w:val="0"/>
          <w:color w:val="000000" w:themeColor="text1"/>
          <w:spacing w:val="0"/>
          <w:kern w:val="2"/>
          <w:sz w:val="32"/>
          <w:szCs w:val="32"/>
          <w:highlight w:val="none"/>
          <w:shd w:val="clear" w:fill="FFFFFF"/>
          <w:lang w:val="en-US" w:eastAsia="zh-CN" w:bidi="ar-SA"/>
          <w14:textFill>
            <w14:solidFill>
              <w14:schemeClr w14:val="tx1"/>
            </w14:solidFill>
          </w14:textFill>
        </w:rPr>
        <w:t>以上</w:t>
      </w:r>
      <w:r>
        <w:rPr>
          <w:rFonts w:hint="default" w:ascii="Times New Roman" w:hAnsi="Times New Roman" w:eastAsia="仿宋_GB2312" w:cs="Times New Roman"/>
          <w:b w:val="0"/>
          <w:bCs w:val="0"/>
          <w:i w:val="0"/>
          <w:iCs w:val="0"/>
          <w:caps w:val="0"/>
          <w:color w:val="000000" w:themeColor="text1"/>
          <w:spacing w:val="0"/>
          <w:kern w:val="2"/>
          <w:sz w:val="32"/>
          <w:szCs w:val="32"/>
          <w:highlight w:val="none"/>
          <w:shd w:val="clear" w:fill="FFFFFF"/>
          <w:lang w:val="en-US" w:eastAsia="zh-CN" w:bidi="ar-SA"/>
          <w14:textFill>
            <w14:solidFill>
              <w14:schemeClr w14:val="tx1"/>
            </w14:solidFill>
          </w14:textFill>
        </w:rPr>
        <w:t>、1亿元（含）以上的，当季分别给予一次性5万元、10万元、15万元扶持。</w:t>
      </w:r>
      <w:r>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w:t>
      </w:r>
      <w:r>
        <w:rPr>
          <w:rFonts w:hint="default" w:ascii="Times New Roman" w:hAnsi="Times New Roman" w:eastAsia="楷体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责任单位：区工信局）</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黑体"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default" w:ascii="Times New Roman" w:hAnsi="Times New Roman" w:eastAsia="黑体"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三、持续扩大有效投资</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sz w:val="32"/>
          <w:szCs w:val="32"/>
          <w:highlight w:val="none"/>
          <w:shd w:val="clear" w:fill="FFFFFF"/>
          <w:lang w:val="en-US" w:eastAsia="zh-CN"/>
          <w14:textFill>
            <w14:solidFill>
              <w14:schemeClr w14:val="tx1"/>
            </w14:solidFill>
          </w14:textFill>
        </w:rPr>
        <w:t>12、促进重点项目开工建设。</w:t>
      </w:r>
      <w:r>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对新开工总投资1</w:t>
      </w:r>
      <w:r>
        <w:rPr>
          <w:rFonts w:hint="eastAsia"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亿元</w:t>
      </w:r>
      <w:r>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（含）-10亿元、10</w:t>
      </w:r>
      <w:r>
        <w:rPr>
          <w:rFonts w:hint="eastAsia"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亿元</w:t>
      </w:r>
      <w:r>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（含）-20亿元、20亿元（含）以上的重点项目，当季分别给予项目业主一次性5万元、10万元、15万元奖励；对同时列入“开工一批”并按期开工的项目追加奖励3万元。（</w:t>
      </w:r>
      <w:r>
        <w:rPr>
          <w:rFonts w:hint="default" w:ascii="Times New Roman" w:hAnsi="Times New Roman" w:eastAsia="楷体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责任单位：区重点项目服务中心）</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对新开工项目当年内纳入统计库形成实质性投资的，按计划总投资1亿元（含）以上、5亿元（含）以上、10亿元（含）以上，20亿元（含）以上，当季分别给予项目业主一次性3万</w:t>
      </w:r>
      <w:r>
        <w:rPr>
          <w:rFonts w:hint="eastAsia"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元</w:t>
      </w:r>
      <w:r>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、5万元、10万元、20万元奖励。（</w:t>
      </w:r>
      <w:r>
        <w:rPr>
          <w:rFonts w:hint="default" w:ascii="Times New Roman" w:hAnsi="Times New Roman" w:eastAsia="楷体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责任单位：区重点项目服务中心）</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sz w:val="32"/>
          <w:szCs w:val="32"/>
          <w:highlight w:val="none"/>
          <w:shd w:val="clear" w:fill="FFFFFF"/>
          <w:lang w:val="en-US" w:eastAsia="zh-CN"/>
          <w14:textFill>
            <w14:solidFill>
              <w14:schemeClr w14:val="tx1"/>
            </w14:solidFill>
          </w14:textFill>
        </w:rPr>
        <w:t>13、积极扩大有效投资。</w:t>
      </w:r>
      <w:r>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对已纳入统计库项目当季完成投资额1亿元（含）以上、3亿元（含）以上、5亿元（含）以上、10亿元（含）以上的，当季分别给予项目业主一次性3万元、5万元、10万元、20万元奖励。（</w:t>
      </w:r>
      <w:r>
        <w:rPr>
          <w:rFonts w:hint="default" w:ascii="Times New Roman" w:hAnsi="Times New Roman" w:eastAsia="楷体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责任单位：区重点项目服务中心）</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sz w:val="32"/>
          <w:szCs w:val="32"/>
          <w:highlight w:val="none"/>
          <w:shd w:val="clear" w:fill="FFFFFF"/>
          <w:lang w:val="en-US" w:eastAsia="zh-CN"/>
          <w14:textFill>
            <w14:solidFill>
              <w14:schemeClr w14:val="tx1"/>
            </w14:solidFill>
          </w14:textFill>
        </w:rPr>
        <w:t>14、设置“全年投资贡献奖”。</w:t>
      </w:r>
      <w:r>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对2022年度完成固定资产投资额1-5名的项目，给予项目业主一次性10万元奖励；对2022年度完成固定资产投资额6-10名的项目，给予项目业主一次性5万元奖励。同时对列入“投产一批”项目按期投产达效的项目追加3万元奖励。（</w:t>
      </w:r>
      <w:r>
        <w:rPr>
          <w:rFonts w:hint="default" w:ascii="Times New Roman" w:hAnsi="Times New Roman" w:eastAsia="楷体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责任单位：区重点项目服务中心）</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15、提升实际利用外资水平。</w:t>
      </w:r>
      <w:r>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对本辖区新设外资企业实缴注册资本金达到500万美元及以上的，给予一次性20万元奖励；实缴注册资本金每增加500万美元，一次性追加资金20万元奖励，最高不超过200万元。辖区外资企业增加投资，每新增实缴注册资本金100万美元，给予一次性资金2万元奖励，最高不超过100万元。（实缴注册资本金累计计算时限不超过2年，房地产、城市综合体、矿产资源开采项目不在支持范围）</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企业投资项目列入当年度河南省“三个一批”项目的，给予一次性3万元奖励。（</w:t>
      </w:r>
      <w:r>
        <w:rPr>
          <w:rFonts w:hint="default" w:ascii="Times New Roman" w:hAnsi="Times New Roman" w:eastAsia="楷体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责任单位：区商务局）</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sz w:val="32"/>
          <w:szCs w:val="32"/>
          <w:highlight w:val="none"/>
          <w:shd w:val="clear" w:fill="FFFFFF"/>
          <w:lang w:val="en-US" w:eastAsia="zh-CN"/>
          <w14:textFill>
            <w14:solidFill>
              <w14:schemeClr w14:val="tx1"/>
            </w14:solidFill>
          </w14:textFill>
        </w:rPr>
        <w:t>16、支持企业实施技术改造投资。</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当季新纳统技术改造投资额分别达到500万</w:t>
      </w:r>
      <w:r>
        <w:rPr>
          <w:rStyle w:val="9"/>
          <w:rFonts w:hint="eastAsia"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元</w:t>
      </w:r>
      <w:r>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（含）以上</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、1000万元</w:t>
      </w:r>
      <w:r>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（含）以上</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、2000万元</w:t>
      </w:r>
      <w:r>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（含）以上的</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，当季分别给予一次性3万</w:t>
      </w:r>
      <w:r>
        <w:rPr>
          <w:rStyle w:val="9"/>
          <w:rFonts w:hint="eastAsia"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元</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、5万</w:t>
      </w:r>
      <w:r>
        <w:rPr>
          <w:rStyle w:val="9"/>
          <w:rFonts w:hint="eastAsia"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元</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、10万</w:t>
      </w:r>
      <w:r>
        <w:rPr>
          <w:rStyle w:val="9"/>
          <w:rFonts w:hint="eastAsia"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元</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补助。</w:t>
      </w:r>
      <w:r>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w:t>
      </w:r>
      <w:r>
        <w:rPr>
          <w:rFonts w:hint="default" w:ascii="Times New Roman" w:hAnsi="Times New Roman" w:eastAsia="楷体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责任单位：区工信局）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Style w:val="9"/>
          <w:rFonts w:hint="default" w:ascii="Times New Roman" w:hAnsi="Times New Roman" w:eastAsia="黑体"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r>
        <w:rPr>
          <w:rStyle w:val="9"/>
          <w:rFonts w:hint="default" w:ascii="Times New Roman" w:hAnsi="Times New Roman" w:eastAsia="黑体"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四、持续提升发展质效</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sz w:val="32"/>
          <w:szCs w:val="32"/>
          <w:highlight w:val="none"/>
          <w:shd w:val="clear" w:fill="FFFFFF"/>
          <w:lang w:val="en-US" w:eastAsia="zh-CN"/>
          <w14:textFill>
            <w14:solidFill>
              <w14:schemeClr w14:val="tx1"/>
            </w14:solidFill>
          </w14:textFill>
        </w:rPr>
        <w:t>17、促进“规上”工业增产达效。</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促进“规上”工业增产达效。工业企业当季止累计产值增速达到15%</w:t>
      </w:r>
      <w:r>
        <w:rPr>
          <w:rStyle w:val="9"/>
          <w:rFonts w:hint="eastAsia"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及</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以上，且当季产值达到1000万元（含）以上、2000万元（含）以上、5000万</w:t>
      </w:r>
      <w:r>
        <w:rPr>
          <w:rStyle w:val="9"/>
          <w:rFonts w:hint="eastAsia"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元</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（含）以上、1亿元（含）以上的，当季分别给予一次性3万元、5万元、10万元、15万元奖励；对截至2022年底年销售收入排名全区“规上”工业企业前五的企业且满足以上增速水平、规模条件的企业追加5万元奖励。</w:t>
      </w:r>
      <w:r>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w:t>
      </w:r>
      <w:r>
        <w:rPr>
          <w:rFonts w:hint="default" w:ascii="Times New Roman" w:hAnsi="Times New Roman" w:eastAsia="楷体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责任单位：区工信局）</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sz w:val="32"/>
          <w:szCs w:val="32"/>
          <w:highlight w:val="none"/>
          <w:shd w:val="clear" w:fill="FFFFFF"/>
          <w:lang w:val="en-US" w:eastAsia="zh-CN"/>
          <w14:textFill>
            <w14:solidFill>
              <w14:schemeClr w14:val="tx1"/>
            </w14:solidFill>
          </w14:textFill>
        </w:rPr>
        <w:t>18、支持工业战略性新兴产业扩大规模。</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战略性新兴产业企业当季止累计增加值增速</w:t>
      </w:r>
      <w:r>
        <w:rPr>
          <w:rStyle w:val="9"/>
          <w:rFonts w:hint="eastAsia"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达到15%及以上</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，当季给予一次性3万元奖励。2022年度“规上”工业企业产品新纳入战略新兴产业统计入库目录后，给予一次性10万元奖励。</w:t>
      </w:r>
      <w:r>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w:t>
      </w:r>
      <w:r>
        <w:rPr>
          <w:rFonts w:hint="default" w:ascii="Times New Roman" w:hAnsi="Times New Roman" w:eastAsia="楷体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责任单位：区工信局）</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r>
        <w:rPr>
          <w:rStyle w:val="9"/>
          <w:rFonts w:hint="default" w:ascii="Times New Roman" w:hAnsi="Times New Roman" w:eastAsia="仿宋_GB2312" w:cs="Times New Roman"/>
          <w:b/>
          <w:bCs/>
          <w:i w:val="0"/>
          <w:iCs w:val="0"/>
          <w:caps w:val="0"/>
          <w:color w:val="000000" w:themeColor="text1"/>
          <w:spacing w:val="0"/>
          <w:sz w:val="32"/>
          <w:szCs w:val="32"/>
          <w:highlight w:val="none"/>
          <w:shd w:val="clear" w:fill="FFFFFF"/>
          <w:lang w:val="en-US" w:eastAsia="zh-CN"/>
          <w14:textFill>
            <w14:solidFill>
              <w14:schemeClr w14:val="tx1"/>
            </w14:solidFill>
          </w14:textFill>
        </w:rPr>
        <w:t>19、助力建筑业健康发展。</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建筑业企业当季止累计产值增速达到15%</w:t>
      </w:r>
      <w:r>
        <w:rPr>
          <w:rStyle w:val="9"/>
          <w:rFonts w:hint="eastAsia"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及</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以上的，且当季产值达到1亿元（含）以上、2亿元(含）以上、5亿元（含）以上、10亿元（含）以上、15亿元（含）以上的，当季分别给予一次性3万元、5万元、10万元、20万元、30万元奖励。（</w:t>
      </w:r>
      <w:r>
        <w:rPr>
          <w:rFonts w:hint="default" w:ascii="Times New Roman" w:hAnsi="Times New Roman" w:eastAsia="楷体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责任单位：区住建局）</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r>
        <w:rPr>
          <w:rStyle w:val="9"/>
          <w:rFonts w:hint="default" w:ascii="Times New Roman" w:hAnsi="Times New Roman" w:eastAsia="楷体_GB2312" w:cs="Times New Roman"/>
          <w:b/>
          <w:bCs/>
          <w:i w:val="0"/>
          <w:iCs w:val="0"/>
          <w:caps w:val="0"/>
          <w:color w:val="000000" w:themeColor="text1"/>
          <w:spacing w:val="0"/>
          <w:sz w:val="32"/>
          <w:szCs w:val="32"/>
          <w:highlight w:val="none"/>
          <w:shd w:val="clear" w:fill="FFFFFF"/>
          <w:lang w:val="en-US" w:eastAsia="zh-CN"/>
          <w14:textFill>
            <w14:solidFill>
              <w14:schemeClr w14:val="tx1"/>
            </w14:solidFill>
          </w14:textFill>
        </w:rPr>
        <w:t>20、提升专业服务业能级。</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“规上”营利性服务业中科学研究和技术服务业，文化、体育和娱乐业、租赁商务服务业、居民修理服务业等专业服务业企业当季累计营收增速</w:t>
      </w:r>
      <w:r>
        <w:rPr>
          <w:rStyle w:val="9"/>
          <w:rFonts w:hint="eastAsia"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超过</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全区平均水平10个百分点</w:t>
      </w:r>
      <w:r>
        <w:rPr>
          <w:rStyle w:val="9"/>
          <w:rFonts w:hint="eastAsia"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及以上</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，且当季营收分别达到2000万元（含）以上，5000万元（含）以上、1亿元（含）以上的，当季分别给予一次性5万元、10万元、20万元奖励。</w:t>
      </w:r>
      <w:r>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w:t>
      </w:r>
      <w:r>
        <w:rPr>
          <w:rFonts w:hint="default" w:ascii="Times New Roman" w:hAnsi="Times New Roman" w:eastAsia="楷体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责任单位：区统计局）</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r>
        <w:rPr>
          <w:rStyle w:val="9"/>
          <w:rFonts w:hint="default" w:ascii="Times New Roman" w:hAnsi="Times New Roman" w:eastAsia="楷体_GB2312" w:cs="Times New Roman"/>
          <w:b/>
          <w:bCs/>
          <w:i w:val="0"/>
          <w:iCs w:val="0"/>
          <w:caps w:val="0"/>
          <w:color w:val="000000" w:themeColor="text1"/>
          <w:spacing w:val="0"/>
          <w:sz w:val="32"/>
          <w:szCs w:val="32"/>
          <w:highlight w:val="none"/>
          <w:shd w:val="clear" w:fill="FFFFFF"/>
          <w:lang w:val="en-US" w:eastAsia="zh-CN"/>
          <w14:textFill>
            <w14:solidFill>
              <w14:schemeClr w14:val="tx1"/>
            </w14:solidFill>
          </w14:textFill>
        </w:rPr>
        <w:t>21、全面加力“扩内需、促消费”。</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“限额以上”批发零售业企业当季止累计营业额增速超过全区平均水平15个百分点</w:t>
      </w:r>
      <w:r>
        <w:rPr>
          <w:rStyle w:val="9"/>
          <w:rFonts w:hint="eastAsia"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及</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以上，且当季营业额达到</w:t>
      </w:r>
      <w:r>
        <w:rPr>
          <w:rStyle w:val="9"/>
          <w:rFonts w:hint="eastAsia"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2000万元（含）以上、</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5000万元（含）以上、1亿元（含）以上、</w:t>
      </w:r>
      <w:r>
        <w:rPr>
          <w:rStyle w:val="9"/>
          <w:rFonts w:hint="eastAsia"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2</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亿元（含）以上的，当季分别给予一次性5万元、10万元、</w:t>
      </w:r>
      <w:r>
        <w:rPr>
          <w:rStyle w:val="9"/>
          <w:rFonts w:hint="eastAsia"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15万元、</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20万元奖励。</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r>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“限额以上”住宿餐饮业企业当季止累计营业额增速超过全区平均水平15个百分点</w:t>
      </w:r>
      <w:r>
        <w:rPr>
          <w:rStyle w:val="9"/>
          <w:rFonts w:hint="eastAsia"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及</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以上，且当季营业额达到500万元（含）以上、1000万元（含）以上、1500万元（含）以上的，当季分别给予一次性</w:t>
      </w:r>
      <w:r>
        <w:rPr>
          <w:rStyle w:val="9"/>
          <w:rFonts w:hint="eastAsia"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2</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万元、</w:t>
      </w:r>
      <w:r>
        <w:rPr>
          <w:rStyle w:val="9"/>
          <w:rFonts w:hint="eastAsia"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4</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万元、</w:t>
      </w:r>
      <w:r>
        <w:rPr>
          <w:rStyle w:val="9"/>
          <w:rFonts w:hint="eastAsia"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6</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万元奖励。</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r>
        <w:rPr>
          <w:rStyle w:val="9"/>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鼓励商业综合体、大市（卖）场业主（运营管理机构）由商务租赁服务业企业转型为贸易类企业，对实现50%、70%、90%以上商户统一核算后，分别给予一次性50万元、70万元、100万元奖励，并根据当年区级经济发展贡献研</w:t>
      </w:r>
      <w:r>
        <w:rPr>
          <w:rFonts w:hint="default"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究制定专项奖励扶持政策。</w:t>
      </w:r>
      <w:r>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w:t>
      </w:r>
      <w:r>
        <w:rPr>
          <w:rFonts w:hint="default" w:ascii="Times New Roman" w:hAnsi="Times New Roman" w:eastAsia="楷体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责任单位：区商务局）</w:t>
      </w:r>
    </w:p>
    <w:p>
      <w:pPr>
        <w:pStyle w:val="6"/>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firstLine="320" w:firstLineChars="100"/>
        <w:jc w:val="both"/>
        <w:textAlignment w:val="auto"/>
        <w:rPr>
          <w:rStyle w:val="9"/>
          <w:rFonts w:hint="default" w:ascii="Times New Roman" w:hAnsi="Times New Roman" w:eastAsia="黑体"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r>
        <w:rPr>
          <w:rStyle w:val="9"/>
          <w:rFonts w:hint="default" w:ascii="Times New Roman" w:hAnsi="Times New Roman" w:eastAsia="黑体"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持续强化要素保障</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仿宋_GB2312" w:cs="Times New Roman"/>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Style w:val="9"/>
          <w:rFonts w:hint="default" w:ascii="Times New Roman" w:hAnsi="Times New Roman" w:eastAsia="楷体_GB2312" w:cs="Times New Roman"/>
          <w:b/>
          <w:bCs/>
          <w:i w:val="0"/>
          <w:iCs w:val="0"/>
          <w:caps w:val="0"/>
          <w:color w:val="000000" w:themeColor="text1"/>
          <w:spacing w:val="0"/>
          <w:sz w:val="32"/>
          <w:szCs w:val="32"/>
          <w:highlight w:val="none"/>
          <w:shd w:val="clear" w:fill="FFFFFF"/>
          <w:lang w:val="en-US" w:eastAsia="zh-CN"/>
          <w14:textFill>
            <w14:solidFill>
              <w14:schemeClr w14:val="tx1"/>
            </w14:solidFill>
          </w14:textFill>
        </w:rPr>
        <w:t>22、全力援企稳岗保用工。</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扎实推进“人人持证、技能河南”建设，提高劳动者就业能力。整合各类用人单位用工需求，加强区内企业人力资源整合、互通。鼓励新招员工，支持稳岗扩岗。2022年度内辖区企业新招员工上岗，签订一年以上劳动合同并依法参加社会保险的，给予用工企业300元/人一次性吸纳就业补助；对新招用应届高校毕业生的，按</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400</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元/人标准给予补助。单个企业</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年累计</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最高不超过10万元。</w:t>
      </w:r>
      <w:r>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w:t>
      </w:r>
      <w:r>
        <w:rPr>
          <w:rFonts w:hint="default" w:ascii="Times New Roman" w:hAnsi="Times New Roman" w:eastAsia="楷体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责任单位：区人社局）</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Style w:val="9"/>
          <w:rFonts w:hint="default" w:ascii="Times New Roman" w:hAnsi="Times New Roman" w:eastAsia="楷体_GB2312" w:cs="Times New Roman"/>
          <w:b/>
          <w:bCs/>
          <w:i w:val="0"/>
          <w:iCs w:val="0"/>
          <w:caps w:val="0"/>
          <w:color w:val="000000" w:themeColor="text1"/>
          <w:spacing w:val="0"/>
          <w:sz w:val="32"/>
          <w:szCs w:val="32"/>
          <w:highlight w:val="none"/>
          <w:shd w:val="clear" w:fill="FFFFFF"/>
          <w:lang w:val="en-US" w:eastAsia="zh-CN"/>
          <w14:textFill>
            <w14:solidFill>
              <w14:schemeClr w14:val="tx1"/>
            </w14:solidFill>
          </w14:textFill>
        </w:rPr>
        <w:t>23、加大金融服务支持力度。</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加强普惠金融和特殊金融服务。引导金融机构加大普惠性小微贷款投放力度，常态化举办银企对接活动，深入推进“千企万户计划”，利用代偿补偿资金池和保费补贴，进一步降低企业融资成本；用好“信易贷”、“省金融共享平台”及“郑好融”等省市融资平台，建立完善“金水区企业征信白名单”，鼓励金融机构在融资授信等方面给予白名单企业便利。</w:t>
      </w:r>
      <w:r>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w:t>
      </w:r>
      <w:r>
        <w:rPr>
          <w:rFonts w:hint="default" w:ascii="Times New Roman" w:hAnsi="Times New Roman" w:eastAsia="楷体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责任单位：区金融工作服务中心）</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cs="Times New Roman"/>
          <w:lang w:val="en-US" w:eastAsia="zh-CN"/>
        </w:rPr>
      </w:pPr>
      <w:r>
        <w:rPr>
          <w:rStyle w:val="9"/>
          <w:rFonts w:hint="default" w:ascii="Times New Roman" w:hAnsi="Times New Roman" w:eastAsia="楷体_GB2312" w:cs="Times New Roman"/>
          <w:b/>
          <w:bCs/>
          <w:i w:val="0"/>
          <w:iCs w:val="0"/>
          <w:caps w:val="0"/>
          <w:color w:val="000000" w:themeColor="text1"/>
          <w:spacing w:val="0"/>
          <w:sz w:val="32"/>
          <w:szCs w:val="32"/>
          <w:highlight w:val="none"/>
          <w:shd w:val="clear" w:fill="FFFFFF"/>
          <w:lang w:val="en-US" w:eastAsia="zh-CN"/>
          <w14:textFill>
            <w14:solidFill>
              <w14:schemeClr w14:val="tx1"/>
            </w14:solidFill>
          </w14:textFill>
        </w:rPr>
        <w:t>24、落实房租减免惠企政策。</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对受疫情影响不能正常经营的个体工商户和中小微企业，承租国有资产类经营用房的，2022年免收3个月房租、减半收取12个月房租；承租非国有资产类经营用房的，鼓励房产产权者在租赁双方平等协商基础上减免或延期收取，与承租企业共克时艰、共赢发展。</w:t>
      </w:r>
      <w:r>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w:t>
      </w:r>
      <w:r>
        <w:rPr>
          <w:rFonts w:hint="default" w:ascii="Times New Roman" w:hAnsi="Times New Roman" w:eastAsia="楷体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责任单位：区财政局）</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Style w:val="9"/>
          <w:rFonts w:hint="default" w:ascii="Times New Roman" w:hAnsi="Times New Roman" w:eastAsia="楷体_GB2312" w:cs="Times New Roman"/>
          <w:b/>
          <w:bCs/>
          <w:i w:val="0"/>
          <w:iCs w:val="0"/>
          <w:caps w:val="0"/>
          <w:color w:val="000000" w:themeColor="text1"/>
          <w:spacing w:val="0"/>
          <w:sz w:val="32"/>
          <w:szCs w:val="32"/>
          <w:highlight w:val="none"/>
          <w:shd w:val="clear" w:fill="FFFFFF"/>
          <w:lang w:val="en-US" w:eastAsia="zh-CN"/>
          <w14:textFill>
            <w14:solidFill>
              <w14:schemeClr w14:val="tx1"/>
            </w14:solidFill>
          </w14:textFill>
        </w:rPr>
        <w:t>25、深入开展一把手“益企行”走流程活动。</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聚焦“放管服效”改革，围绕企业全生命周期，各级党政领导通过选取办事主题，以企业和群众身份走办事流程或以工作人员身份体验办理流程，了解企业诉求、找准堵点难点，以“换位式”体验促数字化改革提升，力促“体验一个事项、解决一批问题、优化一套流程”，推动数据全面打通、流程重新再造，实现涉企业务“全程网办、一网通办、不见面办、一次办好”。</w:t>
      </w:r>
      <w:r>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w:t>
      </w:r>
      <w:r>
        <w:rPr>
          <w:rFonts w:hint="default" w:ascii="Times New Roman" w:hAnsi="Times New Roman" w:eastAsia="楷体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责任单位：区政务办）</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仿宋_GB2312"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r>
        <w:rPr>
          <w:rStyle w:val="9"/>
          <w:rFonts w:hint="default" w:ascii="Times New Roman" w:hAnsi="Times New Roman" w:eastAsia="楷体_GB2312" w:cs="Times New Roman"/>
          <w:b/>
          <w:bCs/>
          <w:i w:val="0"/>
          <w:iCs w:val="0"/>
          <w:caps w:val="0"/>
          <w:color w:val="000000" w:themeColor="text1"/>
          <w:spacing w:val="0"/>
          <w:sz w:val="32"/>
          <w:szCs w:val="32"/>
          <w:highlight w:val="none"/>
          <w:shd w:val="clear" w:fill="FFFFFF"/>
          <w:lang w:val="en-US" w:eastAsia="zh-CN"/>
          <w14:textFill>
            <w14:solidFill>
              <w14:schemeClr w14:val="tx1"/>
            </w14:solidFill>
          </w14:textFill>
        </w:rPr>
        <w:t>26、不断健全助企政策体系。</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建立健全多层次政策体系，全面落实国家、省、市各项助企纾困政策，积极推进金水区“1+N+X”政策的落地见效，适时出台分行业分领域相关惠企政策，加强政策配套，打好政策组合拳。拓展宣传渠道，用好服务热线，及时回应政策咨询，做好实施细则解读，坚持“一口受理、不见面审批、政策直达”的工作机制。</w:t>
      </w:r>
      <w:r>
        <w:rPr>
          <w:rFonts w:hint="default" w:ascii="Times New Roman" w:hAnsi="Times New Roman" w:eastAsia="楷体_GB2312"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（责任单位：区直相关职能部门）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附则：本政策适用于在金水区依法登记注册、依法纳税、依法纳统的企业、机构及其人员，且无不良信用记录。支持对象在享受扶持后，应承诺五年内不将注册登记地址迁出金水区，不改变在金水区原有的纳税纳统义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iCs w:val="0"/>
          <w:caps w:val="0"/>
          <w:color w:val="000000" w:themeColor="text1"/>
          <w:spacing w:val="0"/>
          <w:kern w:val="2"/>
          <w:sz w:val="32"/>
          <w:szCs w:val="32"/>
          <w:highlight w:val="none"/>
          <w:shd w:val="clear" w:fill="FFFFFF"/>
          <w:lang w:val="en-US" w:eastAsia="zh-CN" w:bidi="ar-SA"/>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本政策措施与</w:t>
      </w:r>
      <w:r>
        <w:rPr>
          <w:rFonts w:hint="default" w:ascii="Times New Roman" w:hAnsi="Times New Roman" w:eastAsia="仿宋_GB2312" w:cs="Times New Roman"/>
          <w:i w:val="0"/>
          <w:iCs w:val="0"/>
          <w:caps w:val="0"/>
          <w:color w:val="000000" w:themeColor="text1"/>
          <w:spacing w:val="0"/>
          <w:sz w:val="32"/>
          <w:szCs w:val="32"/>
          <w:highlight w:val="none"/>
          <w:shd w:val="clear" w:fill="FFFFFF"/>
          <w14:textFill>
            <w14:solidFill>
              <w14:schemeClr w14:val="tx1"/>
            </w14:solidFill>
          </w14:textFill>
        </w:rPr>
        <w:t>国家、省</w:t>
      </w:r>
      <w:r>
        <w:rPr>
          <w:rFonts w:hint="default" w:ascii="Times New Roman" w:hAnsi="Times New Roman" w:eastAsia="仿宋_GB2312" w:cs="Times New Roman"/>
          <w:i w:val="0"/>
          <w:iCs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市及金水区其他各项政策按照</w:t>
      </w:r>
      <w:r>
        <w:rPr>
          <w:rFonts w:hint="default" w:ascii="Times New Roman" w:hAnsi="Times New Roman" w:eastAsia="仿宋_GB2312" w:cs="Times New Roman"/>
          <w:i w:val="0"/>
          <w:iCs w:val="0"/>
          <w:caps w:val="0"/>
          <w:color w:val="000000" w:themeColor="text1"/>
          <w:spacing w:val="0"/>
          <w:sz w:val="32"/>
          <w:szCs w:val="32"/>
          <w:highlight w:val="none"/>
          <w:shd w:val="clear" w:fill="FFFFFF"/>
          <w14:textFill>
            <w14:solidFill>
              <w14:schemeClr w14:val="tx1"/>
            </w14:solidFill>
          </w14:textFill>
        </w:rPr>
        <w:t>从优</w:t>
      </w:r>
      <w:r>
        <w:rPr>
          <w:rFonts w:hint="default"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不重复原则</w:t>
      </w:r>
      <w:r>
        <w:rPr>
          <w:rFonts w:hint="default" w:ascii="Times New Roman" w:hAnsi="Times New Roman" w:eastAsia="仿宋_GB2312" w:cs="Times New Roman"/>
          <w:i w:val="0"/>
          <w:iCs w:val="0"/>
          <w:caps w:val="0"/>
          <w:color w:val="000000" w:themeColor="text1"/>
          <w:spacing w:val="0"/>
          <w:sz w:val="32"/>
          <w:szCs w:val="32"/>
          <w:highlight w:val="none"/>
          <w:shd w:val="clear" w:fill="FFFFFF"/>
          <w14:textFill>
            <w14:solidFill>
              <w14:schemeClr w14:val="tx1"/>
            </w14:solidFill>
          </w14:textFill>
        </w:rPr>
        <w:t>执行。本政策措施自印发之日起实施，有效期至2022年12月31日</w:t>
      </w:r>
      <w:r>
        <w:rPr>
          <w:rFonts w:hint="default" w:ascii="Times New Roman" w:hAnsi="Times New Roman" w:eastAsia="仿宋_GB2312" w:cs="Times New Roman"/>
          <w:i w:val="0"/>
          <w:iCs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具体政策措施明确执行期限的从其规定。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iCs w:val="0"/>
          <w:caps w:val="0"/>
          <w:color w:val="000000" w:themeColor="text1"/>
          <w:spacing w:val="0"/>
          <w:kern w:val="2"/>
          <w:sz w:val="32"/>
          <w:szCs w:val="32"/>
          <w:highlight w:val="none"/>
          <w:shd w:val="clear" w:fill="FFFFFF"/>
          <w:lang w:val="en-US" w:eastAsia="zh-CN" w:bidi="ar-SA"/>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iCs w:val="0"/>
          <w:caps w:val="0"/>
          <w:color w:val="000000" w:themeColor="text1"/>
          <w:spacing w:val="0"/>
          <w:kern w:val="2"/>
          <w:sz w:val="32"/>
          <w:szCs w:val="32"/>
          <w:highlight w:val="none"/>
          <w:shd w:val="clear" w:fill="FFFFFF"/>
          <w:lang w:val="en-US" w:eastAsia="zh-CN" w:bidi="ar-SA"/>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iCs w:val="0"/>
          <w:caps w:val="0"/>
          <w:color w:val="000000" w:themeColor="text1"/>
          <w:spacing w:val="0"/>
          <w:kern w:val="2"/>
          <w:sz w:val="32"/>
          <w:szCs w:val="32"/>
          <w:highlight w:val="none"/>
          <w:shd w:val="clear" w:fill="FFFFFF"/>
          <w:lang w:val="en-US" w:eastAsia="zh-CN" w:bidi="ar-SA"/>
          <w14:textFill>
            <w14:solidFill>
              <w14:schemeClr w14:val="tx1"/>
            </w14:solidFill>
          </w14:textFill>
        </w:rPr>
      </w:pPr>
    </w:p>
    <w:sectPr>
      <w:footerReference r:id="rId3" w:type="default"/>
      <w:pgSz w:w="11906" w:h="16838"/>
      <w:pgMar w:top="1984" w:right="1531"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954C6E7-3E17-4959-96B0-7F526FE16EB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C3C84B3A-B5D9-450E-9BAC-3C121522F250}"/>
  </w:font>
  <w:font w:name="楷体_GB2312">
    <w:panose1 w:val="02010609030101010101"/>
    <w:charset w:val="86"/>
    <w:family w:val="auto"/>
    <w:pitch w:val="default"/>
    <w:sig w:usb0="00000001" w:usb1="080E0000" w:usb2="00000000" w:usb3="00000000" w:csb0="00040000" w:csb1="00000000"/>
    <w:embedRegular r:id="rId3" w:fontKey="{F820D6E4-DB10-49D4-8963-76E9CA79B287}"/>
  </w:font>
  <w:font w:name="仿宋_GB2312">
    <w:panose1 w:val="02010609030101010101"/>
    <w:charset w:val="86"/>
    <w:family w:val="auto"/>
    <w:pitch w:val="default"/>
    <w:sig w:usb0="00000001" w:usb1="080E0000" w:usb2="00000000" w:usb3="00000000" w:csb0="00040000" w:csb1="00000000"/>
    <w:embedRegular r:id="rId4" w:fontKey="{2E922675-953B-4C1E-867C-172AD4252DF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7033D"/>
    <w:multiLevelType w:val="singleLevel"/>
    <w:tmpl w:val="9BE7033D"/>
    <w:lvl w:ilvl="0" w:tentative="0">
      <w:start w:val="5"/>
      <w:numFmt w:val="chineseCounting"/>
      <w:suff w:val="nothing"/>
      <w:lvlText w:val="%1、"/>
      <w:lvlJc w:val="left"/>
      <w:rPr>
        <w:rFonts w:hint="eastAsia"/>
      </w:rPr>
    </w:lvl>
  </w:abstractNum>
  <w:abstractNum w:abstractNumId="1">
    <w:nsid w:val="59025239"/>
    <w:multiLevelType w:val="singleLevel"/>
    <w:tmpl w:val="5902523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zMWJhYjljYTU4M2Q0MTgxYmY2OWQ0ZGQ5YTI1ZDMifQ=="/>
  </w:docVars>
  <w:rsids>
    <w:rsidRoot w:val="7A8160B4"/>
    <w:rsid w:val="021F45D0"/>
    <w:rsid w:val="02A10A80"/>
    <w:rsid w:val="039C1939"/>
    <w:rsid w:val="05F86E6F"/>
    <w:rsid w:val="095E7372"/>
    <w:rsid w:val="0A103386"/>
    <w:rsid w:val="0A6579B5"/>
    <w:rsid w:val="0A72535A"/>
    <w:rsid w:val="0AEA57F5"/>
    <w:rsid w:val="0B152A8A"/>
    <w:rsid w:val="0C1179B4"/>
    <w:rsid w:val="0D172940"/>
    <w:rsid w:val="0E990EFC"/>
    <w:rsid w:val="0EA0228A"/>
    <w:rsid w:val="0EF026B4"/>
    <w:rsid w:val="0F0512D0"/>
    <w:rsid w:val="0F42210C"/>
    <w:rsid w:val="11E54ADC"/>
    <w:rsid w:val="12505D75"/>
    <w:rsid w:val="12A21EA7"/>
    <w:rsid w:val="12A2609C"/>
    <w:rsid w:val="12DE5A77"/>
    <w:rsid w:val="12EC1F42"/>
    <w:rsid w:val="137B4173"/>
    <w:rsid w:val="143A1EBF"/>
    <w:rsid w:val="16123427"/>
    <w:rsid w:val="183C74C7"/>
    <w:rsid w:val="18665705"/>
    <w:rsid w:val="18B8396E"/>
    <w:rsid w:val="1934092B"/>
    <w:rsid w:val="1A0A5FE6"/>
    <w:rsid w:val="1BEA2A47"/>
    <w:rsid w:val="1BF6798D"/>
    <w:rsid w:val="1FDD7A2F"/>
    <w:rsid w:val="2108152E"/>
    <w:rsid w:val="2299115B"/>
    <w:rsid w:val="23EB1DA2"/>
    <w:rsid w:val="247022A7"/>
    <w:rsid w:val="26A970DA"/>
    <w:rsid w:val="26DE799C"/>
    <w:rsid w:val="26EB3E67"/>
    <w:rsid w:val="283614C6"/>
    <w:rsid w:val="290C60D2"/>
    <w:rsid w:val="291E1E13"/>
    <w:rsid w:val="2E1A575D"/>
    <w:rsid w:val="2E255EB0"/>
    <w:rsid w:val="2E327E46"/>
    <w:rsid w:val="2E602B64"/>
    <w:rsid w:val="2FA375A0"/>
    <w:rsid w:val="30A21A3A"/>
    <w:rsid w:val="31F87B64"/>
    <w:rsid w:val="32DF2AD1"/>
    <w:rsid w:val="373409CA"/>
    <w:rsid w:val="39237685"/>
    <w:rsid w:val="3C7C6BD1"/>
    <w:rsid w:val="3E403A43"/>
    <w:rsid w:val="3E9C654F"/>
    <w:rsid w:val="3EDF5C44"/>
    <w:rsid w:val="447D4037"/>
    <w:rsid w:val="46E55C05"/>
    <w:rsid w:val="47F32ED0"/>
    <w:rsid w:val="48B00D40"/>
    <w:rsid w:val="48D367DD"/>
    <w:rsid w:val="49070744"/>
    <w:rsid w:val="493A685C"/>
    <w:rsid w:val="4C7B6876"/>
    <w:rsid w:val="4D231FDF"/>
    <w:rsid w:val="4FB11738"/>
    <w:rsid w:val="4FC54761"/>
    <w:rsid w:val="50CD4459"/>
    <w:rsid w:val="50D2327D"/>
    <w:rsid w:val="511D56DB"/>
    <w:rsid w:val="521340EE"/>
    <w:rsid w:val="534171C1"/>
    <w:rsid w:val="53B15E3E"/>
    <w:rsid w:val="540E4501"/>
    <w:rsid w:val="5981495C"/>
    <w:rsid w:val="5A740FFB"/>
    <w:rsid w:val="5AE40D1D"/>
    <w:rsid w:val="5B236E6D"/>
    <w:rsid w:val="5C1F45D3"/>
    <w:rsid w:val="5C9D4B9D"/>
    <w:rsid w:val="5D184CAE"/>
    <w:rsid w:val="608E3627"/>
    <w:rsid w:val="60CC0341"/>
    <w:rsid w:val="60F81900"/>
    <w:rsid w:val="61151C31"/>
    <w:rsid w:val="62D809D6"/>
    <w:rsid w:val="63BB7229"/>
    <w:rsid w:val="63EA36CE"/>
    <w:rsid w:val="63EF49BB"/>
    <w:rsid w:val="65850F59"/>
    <w:rsid w:val="67042698"/>
    <w:rsid w:val="6AFB3C45"/>
    <w:rsid w:val="6C914BC4"/>
    <w:rsid w:val="6F58300D"/>
    <w:rsid w:val="70243F79"/>
    <w:rsid w:val="724203AC"/>
    <w:rsid w:val="73D54C8A"/>
    <w:rsid w:val="7A8160B4"/>
    <w:rsid w:val="7D313879"/>
    <w:rsid w:val="7D5F2792"/>
    <w:rsid w:val="7D8A772C"/>
    <w:rsid w:val="7D8D212F"/>
    <w:rsid w:val="7E156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Emphasis"/>
    <w:basedOn w:val="8"/>
    <w:qFormat/>
    <w:uiPriority w:val="0"/>
    <w:rPr>
      <w:i/>
    </w:rPr>
  </w:style>
  <w:style w:type="paragraph" w:customStyle="1" w:styleId="11">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4757</Words>
  <Characters>4970</Characters>
  <Lines>0</Lines>
  <Paragraphs>0</Paragraphs>
  <TotalTime>2</TotalTime>
  <ScaleCrop>false</ScaleCrop>
  <LinksUpToDate>false</LinksUpToDate>
  <CharactersWithSpaces>4971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2022-05-17T02:18:00Z</dcterms:created>
  <dc:creator>玲玲玲</dc:creator>
  <cp:lastModifiedBy>玲玲玲</cp:lastModifiedBy>
  <cp:lastPrinted>2022-06-10T01:54:00Z</cp:lastPrinted>
  <dcterms:modified xsi:type="dcterms:W3CDTF">2022-06-10T01:59:40Z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0AA379A21CF34E80BA3520A0B866CB5C</vt:lpwstr>
  </property>
</Properties>
</file>