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body>
    <w:p>
      <w:pPr>
        <w:pStyle w:val="16"/>
        <w:keepNext w:val="0"/>
        <w:keepLines w:val="0"/>
        <w:pageBreakBefore w:val="0"/>
        <w:widowControl/>
        <w:suppressLineNumbers w:val="0"/>
        <w:shd w:val="clear" w:color="auto" w:fill="FFFFFF"/>
        <w:kinsoku/>
        <w:wordWrap/>
        <w:overflowPunct/>
        <w:topLinePunct w:val="0"/>
        <w:autoSpaceDE/>
        <w:autoSpaceDN/>
        <w:adjustRightInd/>
        <w:snapToGrid/>
        <w:spacing w:beforeAutospacing="0" w:afterAutospacing="0" w:line="600" w:lineRule="exact"/>
        <w:ind w:left="0" w:firstLine="420"/>
        <w:jc w:val="center"/>
        <w:rPr>
          <w:rStyle w:val="0"/>
          <w:rFonts w:ascii="黑体" w:eastAsia="黑体" w:cs="方正小标宋简体" w:hint="eastAsia"/>
          <w:color w:val="000000"/>
          <w:kern w:val="0"/>
          <w:sz w:val="44"/>
          <w:szCs w:val="44"/>
          <w:shd w:val="clear" w:color="auto" w:fill="FFFFFF"/>
        </w:rPr>
      </w:pPr>
      <w:r>
        <w:rPr>
          <w:rFonts w:ascii="黑体" w:eastAsia="黑体" w:cs="方正小标宋简体" w:hint="eastAsia"/>
          <w:i w:val="0"/>
          <w:caps w:val="0"/>
          <w:smallCaps w:val="0"/>
          <w:color w:val="000000"/>
          <w:spacing w:val="0"/>
          <w:sz w:val="44"/>
          <w:szCs w:val="44"/>
          <w:shd w:val="clear" w:color="auto" w:fill="FFFFFF"/>
          <w:lang w:eastAsia="zh-CN"/>
        </w:rPr>
        <w:t>《金水区支持信息服务、虚拟现实产业发展专项扶持办法</w:t>
      </w:r>
      <w:r>
        <w:rPr>
          <w:rFonts w:ascii="黑体" w:eastAsia="黑体" w:cs="方正小标宋简体" w:hint="eastAsia"/>
          <w:i w:val="0"/>
          <w:caps w:val="0"/>
          <w:smallCaps w:val="0"/>
          <w:color w:val="000000"/>
          <w:spacing w:val="0"/>
          <w:sz w:val="44"/>
          <w:szCs w:val="44"/>
          <w:shd w:val="clear" w:color="auto" w:fill="FFFFFF"/>
        </w:rPr>
        <w:t>（试行）</w:t>
      </w:r>
      <w:r>
        <w:rPr>
          <w:rFonts w:ascii="黑体" w:eastAsia="黑体" w:cs="方正小标宋简体" w:hint="eastAsia"/>
          <w:i w:val="0"/>
          <w:caps w:val="0"/>
          <w:smallCaps w:val="0"/>
          <w:color w:val="000000"/>
          <w:spacing w:val="0"/>
          <w:sz w:val="44"/>
          <w:szCs w:val="44"/>
          <w:shd w:val="clear" w:color="auto" w:fill="FFFFFF"/>
          <w:lang w:eastAsia="zh-CN"/>
        </w:rPr>
        <w:t>》</w:t>
      </w:r>
      <w:r>
        <w:rPr>
          <w:rFonts w:ascii="黑体" w:eastAsia="黑体" w:cs="方正小标宋简体" w:hint="eastAsia"/>
          <w:color w:val="000000"/>
          <w:sz w:val="44"/>
          <w:szCs w:val="44"/>
          <w:shd w:val="clear" w:color="auto" w:fill="FFFFFF"/>
          <w:lang w:val="en-US" w:bidi="ar-SA"/>
        </w:rPr>
        <w:t>政策解读</w:t>
      </w:r>
    </w:p>
    <w:p>
      <w:pPr>
        <w:pStyle w:val="16"/>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atLeast"/>
        <w:ind w:left="0" w:right="0" w:firstLineChars="200" w:firstLine="640"/>
        <w:jc w:val="left"/>
        <w:textAlignment w:val="auto"/>
        <w:rPr>
          <w:rStyle w:val="0"/>
          <w:rFonts w:ascii="仿宋_GB2312" w:eastAsia="仿宋_GB2312" w:cs="仿宋_GB2312" w:hint="eastAsia"/>
          <w:sz w:val="32"/>
          <w:szCs w:val="32"/>
        </w:rPr>
      </w:pPr>
    </w:p>
    <w:p>
      <w:pPr>
        <w:pStyle w:val="19"/>
        <w:keepNext w:val="0"/>
        <w:keepLines w:val="0"/>
        <w:pageBreakBefore w:val="0"/>
        <w:widowControl w:val="0"/>
        <w:kinsoku/>
        <w:wordWrap/>
        <w:overflowPunct/>
        <w:topLinePunct w:val="0"/>
        <w:autoSpaceDE/>
        <w:autoSpaceDN/>
        <w:bidi w:val="0"/>
        <w:adjustRightInd/>
        <w:snapToGrid/>
        <w:spacing w:line="560" w:lineRule="exact"/>
        <w:ind w:firstLineChars="200" w:firstLine="640"/>
        <w:textAlignment w:val="auto"/>
        <w:rPr>
          <w:rFonts w:ascii="仿宋_GB2312" w:cs="仿宋_GB2312" w:hint="eastAsia"/>
          <w:color w:val="auto"/>
          <w:sz w:val="32"/>
          <w:szCs w:val="32"/>
          <w:lang w:eastAsia="zh-CN"/>
        </w:rPr>
      </w:pPr>
      <w:r>
        <w:rPr>
          <w:rFonts w:ascii="仿宋_GB2312" w:cs="仿宋_GB2312" w:hint="eastAsia"/>
          <w:szCs w:val="32"/>
        </w:rPr>
        <w:t>为更好的贯彻落实《金水区支持信息服务、虚拟现实产业发展专项扶持办法（试行）》（</w:t>
      </w:r>
      <w:r>
        <w:rPr>
          <w:rFonts w:ascii="仿宋_GB2312" w:cs="仿宋_GB2312" w:hint="eastAsia"/>
          <w:color w:val="auto"/>
          <w:sz w:val="32"/>
          <w:szCs w:val="32"/>
          <w:lang w:eastAsia="zh-CN"/>
        </w:rPr>
        <w:t>以下简称《</w:t>
      </w:r>
      <w:bookmarkStart w:id="0" w:name="_GoBack"/>
      <w:bookmarkEnd w:id="0"/>
      <w:r>
        <w:rPr>
          <w:rFonts w:ascii="仿宋_GB2312" w:cs="仿宋_GB2312" w:hint="eastAsia"/>
          <w:color w:val="auto"/>
          <w:sz w:val="32"/>
          <w:szCs w:val="32"/>
          <w:lang w:eastAsia="zh-CN"/>
        </w:rPr>
        <w:t>扶持办法》），现将有关内容解读如下：</w:t>
      </w:r>
    </w:p>
    <w:p>
      <w:pPr>
        <w:pStyle w:val="16"/>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firstLineChars="200" w:firstLine="640"/>
        <w:jc w:val="left"/>
        <w:textAlignment w:val="auto"/>
        <w:rPr>
          <w:rStyle w:val="15"/>
          <w:rFonts w:ascii="黑体" w:eastAsia="黑体" w:cs="黑体" w:hint="eastAsia"/>
          <w:b w:val="0"/>
          <w:bCs/>
          <w:sz w:val="32"/>
          <w:szCs w:val="32"/>
          <w:lang w:val="en-US" w:eastAsia="zh-CN"/>
        </w:rPr>
      </w:pPr>
      <w:r>
        <w:rPr>
          <w:rStyle w:val="15"/>
          <w:rFonts w:ascii="黑体" w:eastAsia="黑体" w:cs="黑体" w:hint="eastAsia"/>
          <w:b w:val="0"/>
          <w:bCs/>
          <w:sz w:val="32"/>
          <w:szCs w:val="32"/>
          <w:lang w:eastAsia="zh-CN"/>
        </w:rPr>
        <w:t>一、制定</w:t>
      </w:r>
      <w:r>
        <w:rPr>
          <w:rStyle w:val="15"/>
          <w:rFonts w:ascii="黑体" w:eastAsia="黑体" w:cs="黑体"/>
          <w:b w:val="0"/>
          <w:bCs/>
          <w:sz w:val="32"/>
          <w:szCs w:val="32"/>
          <w:lang w:eastAsia="zh-CN"/>
        </w:rPr>
        <w:t>的</w:t>
      </w:r>
      <w:r>
        <w:rPr>
          <w:rStyle w:val="15"/>
          <w:rFonts w:ascii="黑体" w:eastAsia="黑体" w:cs="黑体" w:hint="eastAsia"/>
          <w:b w:val="0"/>
          <w:bCs/>
          <w:sz w:val="32"/>
          <w:szCs w:val="32"/>
        </w:rPr>
        <w:t>背景</w:t>
      </w:r>
      <w:r>
        <w:rPr>
          <w:rStyle w:val="15"/>
          <w:rFonts w:ascii="黑体" w:eastAsia="黑体" w:cs="黑体"/>
          <w:b w:val="0"/>
          <w:bCs/>
          <w:sz w:val="32"/>
          <w:szCs w:val="32"/>
        </w:rPr>
        <w:t>和意义</w:t>
      </w:r>
      <w:r>
        <w:rPr>
          <w:rStyle w:val="15"/>
          <w:rFonts w:ascii="黑体" w:eastAsia="黑体" w:cs="黑体" w:hint="eastAsia"/>
          <w:b w:val="0"/>
          <w:bCs/>
          <w:sz w:val="32"/>
          <w:szCs w:val="32"/>
          <w:lang w:val="en-US" w:eastAsia="zh-CN"/>
        </w:rPr>
        <w:t xml:space="preserve"> </w:t>
      </w:r>
    </w:p>
    <w:p>
      <w:pPr>
        <w:pStyle w:val="16"/>
        <w:keepNext w:val="0"/>
        <w:keepLines w:val="0"/>
        <w:pageBreakBefore w:val="0"/>
        <w:widowControl/>
        <w:suppressLineNumbers w:val="0"/>
        <w:kinsoku/>
        <w:wordWrap/>
        <w:overflowPunct/>
        <w:topLinePunct w:val="0"/>
        <w:autoSpaceDE/>
        <w:autoSpaceDN/>
        <w:adjustRightInd/>
        <w:snapToGrid/>
        <w:spacing w:beforeAutospacing="0" w:afterAutospacing="0" w:line="600" w:lineRule="exact"/>
        <w:ind w:left="0" w:firstLineChars="200" w:firstLine="640"/>
        <w:rPr>
          <w:rFonts w:ascii="仿宋" w:eastAsia="仿宋" w:hint="eastAsia"/>
          <w:color w:val="000000"/>
          <w:sz w:val="32"/>
          <w:szCs w:val="32"/>
          <w:shd w:val="solid" w:color="FFFFFF" w:fill="FFFFFF"/>
        </w:rPr>
      </w:pPr>
      <w:r>
        <w:rPr>
          <w:rFonts w:ascii="仿宋" w:eastAsia="仿宋"/>
          <w:color w:val="000000"/>
          <w:sz w:val="32"/>
          <w:szCs w:val="32"/>
          <w:shd w:val="solid" w:color="FFFFFF" w:fill="FFFFFF"/>
        </w:rPr>
        <w:t>金水区作为承担省会功能的核心区，在产业定位上担负着郑州发展现代城市经济、打造电子信息产业、建设沿黄科创带的重要支撑作用。河南科技园区作为河南省电子信息产业特色园区，拥有深厚的产业基础。为大力推动科技创新，加快金水区电子信息产业和新兴产业的发展，</w:t>
      </w:r>
      <w:r>
        <w:rPr>
          <w:rFonts w:ascii="仿宋" w:eastAsia="仿宋" w:hint="eastAsia"/>
          <w:color w:val="000000"/>
          <w:sz w:val="32"/>
          <w:szCs w:val="32"/>
          <w:shd w:val="solid" w:color="FFFFFF" w:fill="FFFFFF"/>
        </w:rPr>
        <w:t>进一步推动河南</w:t>
      </w:r>
      <w:r>
        <w:rPr>
          <w:rFonts w:ascii="仿宋" w:eastAsia="仿宋"/>
          <w:color w:val="000000"/>
          <w:sz w:val="32"/>
          <w:szCs w:val="32"/>
          <w:shd w:val="solid" w:color="FFFFFF" w:fill="FFFFFF"/>
        </w:rPr>
        <w:t>科技园区</w:t>
      </w:r>
      <w:r>
        <w:rPr>
          <w:rFonts w:ascii="仿宋" w:eastAsia="仿宋" w:hint="eastAsia"/>
          <w:color w:val="000000"/>
          <w:sz w:val="32"/>
          <w:szCs w:val="32"/>
          <w:shd w:val="solid" w:color="FFFFFF" w:fill="FFFFFF"/>
        </w:rPr>
        <w:t>产业转型升级和城市有机更新，</w:t>
      </w:r>
      <w:r>
        <w:rPr>
          <w:rFonts w:ascii="仿宋_GB2312" w:eastAsia="仿宋_GB2312" w:hint="eastAsia"/>
          <w:color w:val="000000"/>
          <w:sz w:val="32"/>
          <w:szCs w:val="32"/>
          <w:lang w:eastAsia="zh-CN"/>
        </w:rPr>
        <w:t>结合我区实际，</w:t>
      </w:r>
      <w:r>
        <w:rPr>
          <w:rFonts w:ascii="仿宋_GB2312" w:eastAsia="仿宋_GB2312" w:cs="仿宋_GB2312" w:hint="eastAsia"/>
          <w:sz w:val="32"/>
          <w:szCs w:val="32"/>
          <w:lang w:eastAsia="zh-CN"/>
        </w:rPr>
        <w:t>形成了</w:t>
      </w:r>
      <w:r>
        <w:rPr>
          <w:rFonts w:ascii="仿宋_GB2312" w:eastAsia="仿宋_GB2312" w:cs="仿宋_GB2312" w:hint="eastAsia"/>
          <w:sz w:val="32"/>
          <w:szCs w:val="32"/>
        </w:rPr>
        <w:t>《</w:t>
      </w:r>
      <w:r>
        <w:rPr>
          <w:rFonts w:ascii="仿宋" w:eastAsia="仿宋" w:cs="方正小标宋简体"/>
          <w:color w:val="000000"/>
          <w:sz w:val="32"/>
          <w:szCs w:val="32"/>
          <w:shd w:val="solid" w:color="FFFFFF" w:fill="FFFFFF"/>
          <w:lang w:eastAsia="zh-CN"/>
        </w:rPr>
        <w:t>金水区支持信息服务、虚拟现实产业发展专项扶持办法</w:t>
      </w:r>
      <w:r>
        <w:rPr>
          <w:rFonts w:ascii="仿宋" w:eastAsia="仿宋" w:cs="仿宋_GB2312" w:hint="eastAsia"/>
          <w:color w:val="000000"/>
          <w:sz w:val="32"/>
          <w:szCs w:val="32"/>
          <w:shd w:val="solid" w:color="FFFFFF" w:fill="FFFFFF"/>
        </w:rPr>
        <w:t>（试行）</w:t>
      </w:r>
      <w:r>
        <w:rPr>
          <w:rFonts w:ascii="仿宋" w:eastAsia="仿宋" w:cs="仿宋_GB2312" w:hint="eastAsia"/>
          <w:color w:val="000000"/>
          <w:sz w:val="32"/>
          <w:szCs w:val="32"/>
          <w:shd w:val="solid" w:color="FFFFFF" w:fill="FFFFFF"/>
          <w:lang w:eastAsia="zh-CN"/>
        </w:rPr>
        <w:t>（以下简称《</w:t>
      </w:r>
      <w:r>
        <w:rPr>
          <w:rFonts w:ascii="仿宋" w:eastAsia="仿宋" w:cs="仿宋_GB2312"/>
          <w:color w:val="000000"/>
          <w:sz w:val="32"/>
          <w:szCs w:val="32"/>
          <w:shd w:val="solid" w:color="FFFFFF" w:fill="FFFFFF"/>
          <w:lang w:eastAsia="zh-CN"/>
        </w:rPr>
        <w:t>扶持</w:t>
      </w:r>
      <w:r>
        <w:rPr>
          <w:rFonts w:ascii="仿宋" w:eastAsia="仿宋" w:cs="仿宋_GB2312" w:hint="eastAsia"/>
          <w:color w:val="000000"/>
          <w:sz w:val="32"/>
          <w:szCs w:val="32"/>
          <w:shd w:val="solid" w:color="FFFFFF" w:fill="FFFFFF"/>
          <w:lang w:eastAsia="zh-CN"/>
        </w:rPr>
        <w:t>办法》</w:t>
      </w:r>
      <w:r>
        <w:rPr>
          <w:rFonts w:ascii="仿宋" w:eastAsia="仿宋" w:cs="仿宋_GB2312" w:hint="eastAsia"/>
          <w:color w:val="000000"/>
          <w:sz w:val="32"/>
          <w:szCs w:val="32"/>
          <w:shd w:val="solid" w:color="FFFFFF" w:fill="FFFFFF"/>
        </w:rPr>
        <w:t>）</w:t>
      </w:r>
      <w:r>
        <w:rPr>
          <w:rFonts w:ascii="仿宋" w:eastAsia="仿宋" w:cs="仿宋_GB2312" w:hint="eastAsia"/>
          <w:color w:val="000000"/>
          <w:sz w:val="32"/>
          <w:szCs w:val="32"/>
          <w:shd w:val="solid" w:color="FFFFFF" w:fill="FFFFFF"/>
          <w:lang w:eastAsia="zh-CN"/>
        </w:rPr>
        <w:t>。</w:t>
      </w:r>
    </w:p>
    <w:p>
      <w:pPr>
        <w:pStyle w:val="16"/>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right="0" w:firstLineChars="200" w:firstLine="640"/>
        <w:jc w:val="left"/>
        <w:textAlignment w:val="auto"/>
        <w:rPr>
          <w:rStyle w:val="15"/>
          <w:rFonts w:ascii="黑体" w:eastAsia="黑体" w:cs="黑体" w:hint="eastAsia"/>
          <w:b w:val="0"/>
          <w:bCs/>
          <w:sz w:val="32"/>
          <w:szCs w:val="32"/>
          <w:lang w:eastAsia="zh-CN"/>
        </w:rPr>
      </w:pPr>
      <w:r>
        <w:rPr>
          <w:rStyle w:val="15"/>
          <w:rFonts w:ascii="黑体" w:eastAsia="黑体" w:cs="黑体" w:hint="eastAsia"/>
          <w:b w:val="0"/>
          <w:bCs/>
          <w:sz w:val="32"/>
          <w:szCs w:val="32"/>
          <w:lang w:eastAsia="zh-CN"/>
        </w:rPr>
        <w:t>二、制定</w:t>
      </w:r>
      <w:r>
        <w:rPr>
          <w:rStyle w:val="15"/>
          <w:rFonts w:ascii="黑体" w:eastAsia="黑体" w:cs="黑体"/>
          <w:b w:val="0"/>
          <w:bCs/>
          <w:sz w:val="32"/>
          <w:szCs w:val="32"/>
          <w:lang w:eastAsia="zh-CN"/>
        </w:rPr>
        <w:t>参考的</w:t>
      </w:r>
      <w:r>
        <w:rPr>
          <w:rStyle w:val="15"/>
          <w:rFonts w:ascii="黑体" w:eastAsia="黑体" w:cs="黑体" w:hint="eastAsia"/>
          <w:b w:val="0"/>
          <w:bCs/>
          <w:sz w:val="32"/>
          <w:szCs w:val="32"/>
          <w:lang w:eastAsia="zh-CN"/>
        </w:rPr>
        <w:t>依据</w:t>
      </w:r>
    </w:p>
    <w:p>
      <w:pPr>
        <w:pStyle w:val="16"/>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right="0" w:firstLineChars="200" w:firstLine="640"/>
        <w:jc w:val="left"/>
        <w:textAlignment w:val="auto"/>
        <w:rPr>
          <w:rFonts w:ascii="仿宋_GB2312" w:eastAsia="仿宋_GB2312" w:cs="仿宋_GB2312"/>
          <w:sz w:val="32"/>
          <w:szCs w:val="32"/>
        </w:rPr>
      </w:pPr>
      <w:r>
        <w:rPr>
          <w:rFonts w:ascii="仿宋_GB2312" w:eastAsia="仿宋_GB2312" w:cs="仿宋_GB2312"/>
          <w:sz w:val="32"/>
          <w:szCs w:val="32"/>
        </w:rPr>
        <w:t>《郑州市软件和信息技术服务业发展规划（2020-2025）》；</w:t>
      </w:r>
    </w:p>
    <w:p>
      <w:pPr>
        <w:pStyle w:val="16"/>
        <w:keepNext w:val="0"/>
        <w:keepLines w:val="0"/>
        <w:pageBreakBefore w:val="0"/>
        <w:widowControl/>
        <w:suppressLineNumbers w:val="0"/>
        <w:kinsoku/>
        <w:wordWrap/>
        <w:overflowPunct/>
        <w:topLinePunct w:val="0"/>
        <w:autoSpaceDE/>
        <w:autoSpaceDN/>
        <w:adjustRightInd/>
        <w:snapToGrid/>
        <w:spacing w:beforeAutospacing="0" w:afterAutospacing="0" w:line="600" w:lineRule="exact"/>
        <w:ind w:left="0" w:firstLineChars="200" w:firstLine="640"/>
        <w:rPr>
          <w:rFonts w:ascii="仿宋" w:eastAsia="仿宋" w:cs="仿宋"/>
          <w:color w:val="000000"/>
          <w:sz w:val="32"/>
          <w:szCs w:val="32"/>
          <w:shd w:val="solid" w:color="FFFFFF" w:fill="FFFFFF"/>
        </w:rPr>
      </w:pPr>
      <w:r>
        <w:rPr>
          <w:rFonts w:ascii="仿宋" w:eastAsia="仿宋" w:cs="仿宋" w:hint="eastAsia"/>
          <w:color w:val="000000"/>
          <w:sz w:val="32"/>
          <w:szCs w:val="32"/>
          <w:shd w:val="solid" w:color="FFFFFF" w:fill="FFFFFF"/>
        </w:rPr>
        <w:t>《河南省人民政府办公厅关于转发河南省股权投资引导基金管理暂行办法的通知》（豫政办[2012]156号）</w:t>
      </w:r>
    </w:p>
    <w:p>
      <w:pPr>
        <w:pStyle w:val="16"/>
        <w:keepNext w:val="0"/>
        <w:keepLines w:val="0"/>
        <w:pageBreakBefore w:val="0"/>
        <w:widowControl/>
        <w:suppressLineNumbers w:val="0"/>
        <w:kinsoku/>
        <w:wordWrap/>
        <w:overflowPunct/>
        <w:topLinePunct w:val="0"/>
        <w:autoSpaceDE/>
        <w:autoSpaceDN/>
        <w:adjustRightInd/>
        <w:snapToGrid/>
        <w:spacing w:beforeAutospacing="0" w:afterAutospacing="0" w:line="600" w:lineRule="exact"/>
        <w:ind w:left="0" w:firstLineChars="200" w:firstLine="640"/>
        <w:rPr>
          <w:rFonts w:ascii="仿宋" w:eastAsia="仿宋" w:cs="仿宋" w:hint="eastAsia"/>
          <w:color w:val="000000"/>
          <w:sz w:val="32"/>
          <w:szCs w:val="32"/>
          <w:shd w:val="solid" w:color="FFFFFF" w:fill="FFFFFF"/>
        </w:rPr>
      </w:pPr>
      <w:r>
        <w:rPr>
          <w:rFonts w:ascii="仿宋" w:eastAsia="仿宋" w:cs="仿宋" w:hint="eastAsia"/>
          <w:color w:val="000000"/>
          <w:sz w:val="32"/>
          <w:szCs w:val="32"/>
          <w:shd w:val="solid" w:color="FFFFFF" w:fill="FFFFFF"/>
        </w:rPr>
        <w:t>《江西省南昌市</w:t>
      </w:r>
      <w:r>
        <w:rPr>
          <w:rFonts w:ascii="仿宋" w:eastAsia="仿宋" w:hint="eastAsia"/>
          <w:color w:val="000000"/>
          <w:sz w:val="32"/>
          <w:szCs w:val="32"/>
          <w:shd w:val="solid" w:color="FFFFFF" w:fill="FFFFFF"/>
        </w:rPr>
        <w:t>红谷滩区关于促进虚拟现实产业发展的若干政策（试行）</w:t>
      </w:r>
      <w:r>
        <w:rPr>
          <w:rFonts w:ascii="仿宋" w:eastAsia="仿宋" w:cs="仿宋" w:hint="eastAsia"/>
          <w:color w:val="000000"/>
          <w:sz w:val="32"/>
          <w:szCs w:val="32"/>
          <w:shd w:val="solid" w:color="FFFFFF" w:fill="FFFFFF"/>
        </w:rPr>
        <w:t>》</w:t>
      </w:r>
    </w:p>
    <w:p>
      <w:pPr>
        <w:pStyle w:val="16"/>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right="0" w:firstLineChars="200" w:firstLine="640"/>
        <w:jc w:val="left"/>
        <w:textAlignment w:val="auto"/>
        <w:rPr>
          <w:rStyle w:val="15"/>
          <w:rFonts w:ascii="黑体" w:eastAsia="黑体" w:cs="黑体" w:hint="eastAsia"/>
          <w:b w:val="0"/>
          <w:bCs/>
          <w:sz w:val="32"/>
          <w:szCs w:val="32"/>
          <w:lang w:eastAsia="zh-CN"/>
        </w:rPr>
      </w:pPr>
      <w:r>
        <w:rPr>
          <w:rStyle w:val="15"/>
          <w:rFonts w:ascii="黑体" w:eastAsia="黑体" w:cs="黑体" w:hint="eastAsia"/>
          <w:b w:val="0"/>
          <w:bCs/>
          <w:sz w:val="32"/>
          <w:szCs w:val="32"/>
          <w:lang w:eastAsia="zh-CN"/>
        </w:rPr>
        <w:t>三、主要内容</w:t>
      </w:r>
    </w:p>
    <w:p>
      <w:pPr>
        <w:pStyle w:val="16"/>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firstLineChars="200" w:firstLine="640"/>
        <w:jc w:val="left"/>
        <w:textAlignment w:val="auto"/>
        <w:rPr>
          <w:rFonts w:ascii="仿宋_GB2312" w:eastAsia="仿宋_GB2312" w:cs="仿宋_GB2312" w:hint="eastAsia"/>
          <w:sz w:val="32"/>
          <w:szCs w:val="32"/>
          <w:lang w:eastAsia="zh-CN"/>
        </w:rPr>
      </w:pPr>
      <w:r>
        <w:rPr>
          <w:rFonts w:ascii="仿宋_GB2312" w:eastAsia="仿宋_GB2312" w:cs="仿宋_GB2312" w:hint="eastAsia"/>
          <w:sz w:val="32"/>
          <w:szCs w:val="32"/>
        </w:rPr>
        <w:t>《实施办法》共</w:t>
      </w:r>
      <w:r>
        <w:rPr>
          <w:rFonts w:ascii="仿宋_GB2312" w:eastAsia="仿宋_GB2312" w:cs="仿宋_GB2312" w:hint="eastAsia"/>
          <w:sz w:val="32"/>
          <w:szCs w:val="32"/>
          <w:lang w:eastAsia="zh-CN"/>
        </w:rPr>
        <w:t>十</w:t>
      </w:r>
      <w:r>
        <w:rPr>
          <w:rFonts w:ascii="仿宋_GB2312" w:eastAsia="仿宋_GB2312" w:cs="仿宋_GB2312"/>
          <w:sz w:val="32"/>
          <w:szCs w:val="32"/>
          <w:lang w:eastAsia="zh-CN"/>
        </w:rPr>
        <w:t>一</w:t>
      </w:r>
      <w:r>
        <w:rPr>
          <w:rFonts w:ascii="仿宋_GB2312" w:eastAsia="仿宋_GB2312" w:cs="仿宋_GB2312" w:hint="eastAsia"/>
          <w:sz w:val="32"/>
          <w:szCs w:val="32"/>
          <w:lang w:eastAsia="zh-CN"/>
        </w:rPr>
        <w:t>条。共分为总则、</w:t>
      </w:r>
      <w:r>
        <w:rPr>
          <w:rFonts w:ascii="仿宋_GB2312" w:eastAsia="仿宋_GB2312" w:cs="仿宋_GB2312"/>
          <w:sz w:val="32"/>
          <w:szCs w:val="32"/>
          <w:lang w:eastAsia="zh-CN"/>
        </w:rPr>
        <w:t>扶持条件和标准、</w:t>
      </w:r>
      <w:r>
        <w:rPr>
          <w:rFonts w:ascii="仿宋_GB2312" w:eastAsia="仿宋_GB2312" w:cs="仿宋_GB2312" w:hint="eastAsia"/>
          <w:sz w:val="32"/>
          <w:szCs w:val="32"/>
          <w:lang w:eastAsia="zh-CN"/>
        </w:rPr>
        <w:t>附则</w:t>
      </w:r>
      <w:r>
        <w:rPr>
          <w:rFonts w:ascii="仿宋_GB2312" w:eastAsia="仿宋_GB2312" w:cs="仿宋_GB2312"/>
          <w:sz w:val="32"/>
          <w:szCs w:val="32"/>
          <w:lang w:eastAsia="zh-CN"/>
        </w:rPr>
        <w:t>三</w:t>
      </w:r>
      <w:r>
        <w:rPr>
          <w:rFonts w:ascii="仿宋_GB2312" w:eastAsia="仿宋_GB2312" w:cs="仿宋_GB2312" w:hint="eastAsia"/>
          <w:sz w:val="32"/>
          <w:szCs w:val="32"/>
          <w:lang w:eastAsia="zh-CN"/>
        </w:rPr>
        <w:t>个部分。</w:t>
      </w:r>
    </w:p>
    <w:p>
      <w:pPr>
        <w:spacing w:line="600" w:lineRule="exact"/>
        <w:ind w:left="105" w:firstLineChars="200" w:firstLine="640"/>
        <w:rPr>
          <w:rFonts w:ascii="仿宋" w:eastAsia="仿宋"/>
          <w:b/>
          <w:bCs/>
          <w:sz w:val="32"/>
          <w:szCs w:val="32"/>
        </w:rPr>
      </w:pPr>
      <w:r>
        <w:rPr>
          <w:rFonts w:ascii="仿宋_GB2312" w:eastAsia="仿宋_GB2312" w:cs="仿宋_GB2312" w:hint="eastAsia"/>
          <w:sz w:val="32"/>
          <w:szCs w:val="32"/>
          <w:lang w:eastAsia="zh-CN"/>
        </w:rPr>
        <w:t>第一部分是总则。</w:t>
      </w:r>
      <w:r>
        <w:rPr>
          <w:rFonts w:ascii="仿宋_GB2312" w:eastAsia="仿宋_GB2312" w:cs="仿宋_GB2312" w:hint="eastAsia"/>
          <w:b/>
          <w:bCs/>
          <w:sz w:val="32"/>
          <w:szCs w:val="32"/>
          <w:lang w:eastAsia="zh-CN"/>
        </w:rPr>
        <w:t>“</w:t>
      </w:r>
      <w:r>
        <w:rPr>
          <w:rFonts w:ascii="仿宋_GB2312" w:eastAsia="仿宋_GB2312" w:cs="仿宋_GB2312"/>
          <w:b/>
          <w:bCs/>
          <w:sz w:val="32"/>
          <w:szCs w:val="32"/>
          <w:lang w:eastAsia="zh-CN"/>
        </w:rPr>
        <w:t>第1条</w:t>
      </w:r>
      <w:r>
        <w:rPr>
          <w:rFonts w:ascii="仿宋_GB2312" w:eastAsia="仿宋_GB2312" w:cs="仿宋_GB2312" w:hint="eastAsia"/>
          <w:b/>
          <w:bCs/>
          <w:sz w:val="32"/>
          <w:szCs w:val="32"/>
          <w:lang w:eastAsia="zh-CN"/>
        </w:rPr>
        <w:t>”</w:t>
      </w:r>
      <w:r>
        <w:rPr>
          <w:rFonts w:ascii="仿宋_GB2312" w:eastAsia="仿宋_GB2312" w:cs="仿宋_GB2312" w:hint="eastAsia"/>
          <w:sz w:val="32"/>
          <w:szCs w:val="32"/>
          <w:lang w:eastAsia="zh-CN"/>
        </w:rPr>
        <w:t>明确</w:t>
      </w:r>
      <w:r>
        <w:rPr>
          <w:rFonts w:ascii="仿宋_GB2312" w:eastAsia="仿宋_GB2312" w:cs="仿宋_GB2312"/>
          <w:sz w:val="32"/>
          <w:szCs w:val="32"/>
          <w:lang w:eastAsia="zh-CN"/>
        </w:rPr>
        <w:t>《扶持办法》中的企业</w:t>
      </w:r>
      <w:r>
        <w:rPr>
          <w:rFonts w:ascii="仿宋_GB2312" w:eastAsia="仿宋_GB2312" w:hint="eastAsia"/>
          <w:color w:val="000000"/>
          <w:sz w:val="32"/>
          <w:szCs w:val="32"/>
          <w:highlight w:val="auto"/>
        </w:rPr>
        <w:t>指</w:t>
      </w:r>
      <w:r>
        <w:rPr>
          <w:rFonts w:ascii="仿宋" w:eastAsia="仿宋" w:cs="仿宋"/>
          <w:color w:val="333333"/>
          <w:sz w:val="32"/>
          <w:szCs w:val="32"/>
          <w:shd w:val="clear" w:color="auto" w:fill="FFFFFF"/>
        </w:rPr>
        <w:t>是指</w:t>
      </w:r>
      <w:r>
        <w:rPr>
          <w:rFonts w:ascii="仿宋" w:eastAsia="仿宋" w:hint="eastAsia"/>
          <w:sz w:val="32"/>
          <w:szCs w:val="32"/>
        </w:rPr>
        <w:t>工商注册地、税务征管关系及统计关系</w:t>
      </w:r>
      <w:r>
        <w:rPr>
          <w:rFonts w:ascii="仿宋" w:eastAsia="仿宋"/>
          <w:sz w:val="32"/>
          <w:szCs w:val="32"/>
        </w:rPr>
        <w:t>均</w:t>
      </w:r>
      <w:r>
        <w:rPr>
          <w:rFonts w:ascii="仿宋" w:eastAsia="仿宋" w:hint="eastAsia"/>
          <w:sz w:val="32"/>
          <w:szCs w:val="32"/>
        </w:rPr>
        <w:t>在</w:t>
      </w:r>
      <w:r>
        <w:rPr>
          <w:rFonts w:ascii="仿宋" w:eastAsia="仿宋"/>
          <w:sz w:val="32"/>
          <w:szCs w:val="32"/>
        </w:rPr>
        <w:t>河南科技园</w:t>
      </w:r>
      <w:r>
        <w:rPr>
          <w:rFonts w:ascii="仿宋" w:eastAsia="仿宋"/>
          <w:color w:val="000000"/>
          <w:sz w:val="32"/>
          <w:szCs w:val="32"/>
          <w:shd w:val="solid" w:color="FFFFFF" w:fill="FFFFFF"/>
        </w:rPr>
        <w:t>区</w:t>
      </w:r>
      <w:r>
        <w:rPr>
          <w:rFonts w:ascii="仿宋" w:eastAsia="仿宋" w:hint="eastAsia"/>
          <w:sz w:val="32"/>
          <w:szCs w:val="32"/>
        </w:rPr>
        <w:t>内，具有独立法人资格，</w:t>
      </w:r>
      <w:r>
        <w:rPr>
          <w:rFonts w:ascii="仿宋" w:eastAsia="仿宋"/>
          <w:sz w:val="32"/>
          <w:szCs w:val="32"/>
        </w:rPr>
        <w:t>并实行独立核算的</w:t>
      </w:r>
      <w:r>
        <w:rPr>
          <w:rFonts w:ascii="仿宋" w:eastAsia="仿宋" w:hint="eastAsia"/>
          <w:bCs/>
          <w:sz w:val="32"/>
          <w:szCs w:val="32"/>
        </w:rPr>
        <w:t>信息</w:t>
      </w:r>
      <w:r>
        <w:rPr>
          <w:rFonts w:ascii="仿宋" w:eastAsia="仿宋"/>
          <w:bCs/>
          <w:sz w:val="32"/>
          <w:szCs w:val="32"/>
        </w:rPr>
        <w:t>服务</w:t>
      </w:r>
      <w:r>
        <w:rPr>
          <w:rFonts w:ascii="仿宋" w:eastAsia="仿宋" w:hint="eastAsia"/>
          <w:bCs/>
          <w:sz w:val="32"/>
          <w:szCs w:val="32"/>
        </w:rPr>
        <w:t>企业</w:t>
      </w:r>
      <w:r>
        <w:rPr>
          <w:rFonts w:ascii="仿宋" w:eastAsia="仿宋"/>
          <w:bCs/>
          <w:sz w:val="32"/>
          <w:szCs w:val="32"/>
        </w:rPr>
        <w:t>、</w:t>
      </w:r>
      <w:r>
        <w:rPr>
          <w:rFonts w:ascii="仿宋" w:eastAsia="仿宋" w:hint="eastAsia"/>
          <w:bCs/>
          <w:sz w:val="32"/>
          <w:szCs w:val="32"/>
        </w:rPr>
        <w:t>虚拟现实企业</w:t>
      </w:r>
      <w:r>
        <w:rPr>
          <w:rFonts w:ascii="仿宋" w:eastAsia="仿宋"/>
          <w:bCs/>
          <w:sz w:val="32"/>
          <w:szCs w:val="32"/>
        </w:rPr>
        <w:t>。</w:t>
      </w:r>
    </w:p>
    <w:p>
      <w:pPr>
        <w:pStyle w:val="16"/>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firstLineChars="250" w:firstLine="800"/>
        <w:jc w:val="left"/>
        <w:textAlignment w:val="auto"/>
        <w:rPr>
          <w:rFonts w:ascii="仿宋_GB2312" w:eastAsia="仿宋_GB2312" w:cs="仿宋_GB2312" w:hint="eastAsia"/>
          <w:sz w:val="32"/>
          <w:szCs w:val="32"/>
          <w:lang w:eastAsia="zh-CN"/>
        </w:rPr>
      </w:pPr>
      <w:r>
        <w:rPr>
          <w:rFonts w:ascii="仿宋_GB2312" w:eastAsia="仿宋_GB2312" w:cs="仿宋_GB2312" w:hint="eastAsia"/>
          <w:sz w:val="32"/>
          <w:szCs w:val="32"/>
          <w:lang w:eastAsia="zh-CN"/>
        </w:rPr>
        <w:t>第二部分是</w:t>
      </w:r>
      <w:r>
        <w:rPr>
          <w:rFonts w:ascii="仿宋_GB2312" w:eastAsia="仿宋_GB2312" w:cs="仿宋_GB2312"/>
          <w:sz w:val="32"/>
          <w:szCs w:val="32"/>
          <w:lang w:eastAsia="zh-CN"/>
        </w:rPr>
        <w:t>扶持的条件和标准</w:t>
      </w:r>
      <w:r>
        <w:rPr>
          <w:rFonts w:ascii="仿宋_GB2312" w:eastAsia="仿宋_GB2312" w:cs="仿宋_GB2312" w:hint="eastAsia"/>
          <w:sz w:val="32"/>
          <w:szCs w:val="32"/>
          <w:lang w:eastAsia="zh-CN"/>
        </w:rPr>
        <w:t>。</w:t>
      </w:r>
    </w:p>
    <w:p>
      <w:pPr>
        <w:spacing w:line="600" w:lineRule="exact"/>
        <w:ind w:firstLineChars="250" w:firstLine="800"/>
        <w:rPr>
          <w:rFonts w:ascii="仿宋" w:eastAsia="仿宋"/>
          <w:bCs/>
          <w:sz w:val="32"/>
          <w:szCs w:val="32"/>
        </w:rPr>
      </w:pPr>
      <w:r>
        <w:rPr>
          <w:rFonts w:ascii="仿宋_GB2312" w:eastAsia="仿宋_GB2312" w:cs="仿宋_GB2312"/>
          <w:sz w:val="32"/>
          <w:szCs w:val="32"/>
        </w:rPr>
        <w:t>一是对新引进企业的补助。</w:t>
      </w:r>
      <w:r>
        <w:rPr>
          <w:rFonts w:ascii="仿宋_GB2312" w:eastAsia="仿宋_GB2312" w:cs="仿宋_GB2312" w:hint="eastAsia"/>
          <w:b/>
          <w:bCs/>
          <w:sz w:val="32"/>
          <w:szCs w:val="32"/>
        </w:rPr>
        <w:t>“</w:t>
      </w:r>
      <w:r>
        <w:rPr>
          <w:rFonts w:ascii="仿宋_GB2312" w:eastAsia="仿宋_GB2312" w:cs="仿宋_GB2312"/>
          <w:b/>
          <w:bCs/>
          <w:sz w:val="32"/>
          <w:szCs w:val="32"/>
        </w:rPr>
        <w:t>第2条</w:t>
      </w:r>
      <w:r>
        <w:rPr>
          <w:rFonts w:ascii="仿宋_GB2312" w:eastAsia="仿宋_GB2312" w:cs="仿宋_GB2312" w:hint="eastAsia"/>
          <w:b/>
          <w:bCs/>
          <w:sz w:val="32"/>
          <w:szCs w:val="32"/>
        </w:rPr>
        <w:t>”</w:t>
      </w:r>
      <w:r>
        <w:rPr>
          <w:rFonts w:ascii="仿宋_GB2312" w:eastAsia="仿宋_GB2312" w:cs="仿宋_GB2312" w:hint="eastAsia"/>
          <w:sz w:val="32"/>
          <w:szCs w:val="32"/>
        </w:rPr>
        <w:t>是</w:t>
      </w:r>
      <w:r>
        <w:rPr>
          <w:rFonts w:ascii="仿宋_GB2312" w:eastAsia="仿宋_GB2312" w:cs="仿宋_GB2312"/>
          <w:sz w:val="32"/>
          <w:szCs w:val="32"/>
        </w:rPr>
        <w:t>按实缴注册资本金给予相应的资金补助。</w:t>
      </w:r>
      <w:r>
        <w:rPr>
          <w:rFonts w:ascii="仿宋_GB2312" w:eastAsia="仿宋_GB2312" w:cs="仿宋_GB2312" w:hint="eastAsia"/>
          <w:sz w:val="32"/>
          <w:szCs w:val="32"/>
        </w:rPr>
        <w:t>“</w:t>
      </w:r>
      <w:r>
        <w:rPr>
          <w:rFonts w:ascii="仿宋" w:eastAsia="仿宋" w:cs="仿宋" w:hint="eastAsia"/>
          <w:bCs/>
          <w:sz w:val="32"/>
          <w:szCs w:val="32"/>
        </w:rPr>
        <w:t>实缴资本金</w:t>
      </w:r>
      <w:r>
        <w:rPr>
          <w:rFonts w:ascii="仿宋" w:eastAsia="仿宋" w:cs="仿宋"/>
          <w:bCs/>
          <w:sz w:val="32"/>
          <w:szCs w:val="32"/>
        </w:rPr>
        <w:t>50万元-100万元</w:t>
      </w:r>
      <w:r>
        <w:rPr>
          <w:rFonts w:ascii="仿宋" w:eastAsia="仿宋" w:cs="仿宋" w:hint="eastAsia"/>
          <w:bCs/>
          <w:sz w:val="32"/>
          <w:szCs w:val="32"/>
        </w:rPr>
        <w:t>的</w:t>
      </w:r>
      <w:r>
        <w:rPr>
          <w:rFonts w:ascii="仿宋" w:eastAsia="仿宋" w:cs="仿宋"/>
          <w:bCs/>
          <w:sz w:val="32"/>
          <w:szCs w:val="32"/>
        </w:rPr>
        <w:t>，给予一次性补助</w:t>
      </w:r>
      <w:r>
        <w:rPr>
          <w:rFonts w:ascii="仿宋" w:eastAsia="仿宋" w:cs="仿宋"/>
          <w:bCs/>
          <w:color w:val="000000"/>
          <w:sz w:val="32"/>
          <w:szCs w:val="32"/>
        </w:rPr>
        <w:t>1</w:t>
      </w:r>
      <w:r>
        <w:rPr>
          <w:rFonts w:ascii="仿宋" w:eastAsia="仿宋" w:cs="仿宋"/>
          <w:bCs/>
          <w:sz w:val="32"/>
          <w:szCs w:val="32"/>
        </w:rPr>
        <w:t>万元</w:t>
      </w:r>
      <w:r>
        <w:rPr>
          <w:rFonts w:ascii="仿宋" w:eastAsia="仿宋" w:cs="仿宋" w:hint="eastAsia"/>
          <w:bCs/>
          <w:sz w:val="32"/>
          <w:szCs w:val="32"/>
        </w:rPr>
        <w:t>；</w:t>
      </w:r>
      <w:r>
        <w:rPr>
          <w:rFonts w:ascii="仿宋" w:eastAsia="仿宋" w:cs="仿宋"/>
          <w:bCs/>
          <w:sz w:val="32"/>
          <w:szCs w:val="32"/>
        </w:rPr>
        <w:t>100万元-500万元</w:t>
      </w:r>
      <w:r>
        <w:rPr>
          <w:rFonts w:ascii="仿宋" w:eastAsia="仿宋" w:cs="仿宋" w:hint="eastAsia"/>
          <w:bCs/>
          <w:sz w:val="32"/>
          <w:szCs w:val="32"/>
        </w:rPr>
        <w:t>的</w:t>
      </w:r>
      <w:r>
        <w:rPr>
          <w:rFonts w:ascii="仿宋" w:eastAsia="仿宋" w:cs="仿宋"/>
          <w:bCs/>
          <w:sz w:val="32"/>
          <w:szCs w:val="32"/>
        </w:rPr>
        <w:t>，给予一次性补助</w:t>
      </w:r>
      <w:r>
        <w:rPr>
          <w:rFonts w:ascii="仿宋" w:eastAsia="仿宋" w:cs="仿宋"/>
          <w:bCs/>
          <w:color w:val="000000"/>
          <w:sz w:val="32"/>
          <w:szCs w:val="32"/>
        </w:rPr>
        <w:t>3</w:t>
      </w:r>
      <w:r>
        <w:rPr>
          <w:rFonts w:ascii="仿宋" w:eastAsia="仿宋" w:cs="仿宋"/>
          <w:bCs/>
          <w:sz w:val="32"/>
          <w:szCs w:val="32"/>
        </w:rPr>
        <w:t>万元；500万元-1000万元以上的，给予一次性补助</w:t>
      </w:r>
      <w:r>
        <w:rPr>
          <w:rFonts w:ascii="仿宋" w:eastAsia="仿宋" w:cs="仿宋"/>
          <w:bCs/>
          <w:color w:val="000000"/>
          <w:sz w:val="32"/>
          <w:szCs w:val="32"/>
        </w:rPr>
        <w:t>5</w:t>
      </w:r>
      <w:r>
        <w:rPr>
          <w:rFonts w:ascii="仿宋" w:eastAsia="仿宋" w:cs="仿宋"/>
          <w:bCs/>
          <w:sz w:val="32"/>
          <w:szCs w:val="32"/>
        </w:rPr>
        <w:t>万元。</w:t>
      </w:r>
      <w:r>
        <w:rPr>
          <w:rFonts w:ascii="仿宋" w:eastAsia="仿宋" w:cs="仿宋" w:hint="eastAsia"/>
          <w:bCs/>
          <w:sz w:val="32"/>
          <w:szCs w:val="32"/>
        </w:rPr>
        <w:t>”</w:t>
      </w:r>
      <w:r>
        <w:rPr>
          <w:rFonts w:ascii="仿宋" w:eastAsia="仿宋" w:cs="仿宋" w:hint="eastAsia"/>
          <w:b/>
          <w:bCs/>
          <w:sz w:val="32"/>
          <w:szCs w:val="32"/>
        </w:rPr>
        <w:t>“</w:t>
      </w:r>
      <w:r>
        <w:rPr>
          <w:rFonts w:ascii="仿宋" w:eastAsia="仿宋" w:cs="仿宋"/>
          <w:b/>
          <w:bCs/>
          <w:sz w:val="32"/>
          <w:szCs w:val="32"/>
        </w:rPr>
        <w:t>第3条</w:t>
      </w:r>
      <w:r>
        <w:rPr>
          <w:rFonts w:ascii="仿宋" w:eastAsia="仿宋" w:cs="仿宋" w:hint="eastAsia"/>
          <w:b/>
          <w:bCs/>
          <w:sz w:val="32"/>
          <w:szCs w:val="32"/>
        </w:rPr>
        <w:t>”</w:t>
      </w:r>
      <w:r>
        <w:rPr>
          <w:rFonts w:ascii="仿宋" w:eastAsia="仿宋" w:cs="仿宋"/>
          <w:bCs/>
          <w:sz w:val="32"/>
          <w:szCs w:val="32"/>
        </w:rPr>
        <w:t>是按上年度营业收入分别给予的房屋补贴。</w:t>
      </w:r>
      <w:r>
        <w:rPr>
          <w:rFonts w:ascii="仿宋" w:eastAsia="仿宋" w:cs="仿宋" w:hint="eastAsia"/>
          <w:bCs/>
          <w:sz w:val="32"/>
          <w:szCs w:val="32"/>
        </w:rPr>
        <w:t>“</w:t>
      </w:r>
      <w:r>
        <w:rPr>
          <w:rFonts w:ascii="仿宋" w:eastAsia="仿宋" w:cs="仿宋"/>
          <w:bCs/>
          <w:sz w:val="32"/>
          <w:szCs w:val="32"/>
        </w:rPr>
        <w:t>无办公用房的，</w:t>
      </w:r>
      <w:r>
        <w:rPr>
          <w:rFonts w:ascii="仿宋" w:eastAsia="仿宋"/>
          <w:bCs/>
          <w:sz w:val="32"/>
          <w:szCs w:val="32"/>
        </w:rPr>
        <w:t>提供</w:t>
      </w:r>
      <w:r>
        <w:rPr>
          <w:rFonts w:ascii="仿宋" w:eastAsia="仿宋" w:hint="eastAsia"/>
          <w:bCs/>
          <w:sz w:val="32"/>
          <w:szCs w:val="32"/>
        </w:rPr>
        <w:t>3年免租</w:t>
      </w:r>
      <w:r>
        <w:rPr>
          <w:rFonts w:ascii="仿宋" w:eastAsia="仿宋"/>
          <w:bCs/>
          <w:sz w:val="32"/>
          <w:szCs w:val="32"/>
        </w:rPr>
        <w:t>办公用房1间（50-150平）；</w:t>
      </w:r>
      <w:r>
        <w:rPr>
          <w:rFonts w:ascii="仿宋" w:eastAsia="仿宋" w:cs="仿宋"/>
          <w:bCs/>
          <w:sz w:val="32"/>
          <w:szCs w:val="32"/>
        </w:rPr>
        <w:t>对</w:t>
      </w:r>
      <w:r>
        <w:rPr>
          <w:rFonts w:ascii="仿宋" w:eastAsia="仿宋"/>
          <w:bCs/>
          <w:sz w:val="32"/>
          <w:szCs w:val="32"/>
        </w:rPr>
        <w:t>租用办公用房的企业，按照3</w:t>
      </w:r>
      <w:r>
        <w:rPr>
          <w:rFonts w:ascii="仿宋" w:eastAsia="仿宋"/>
          <w:bCs/>
          <w:color w:val="000000"/>
          <w:sz w:val="32"/>
          <w:szCs w:val="32"/>
        </w:rPr>
        <w:t>0元/平/月的标准</w:t>
      </w:r>
      <w:r>
        <w:rPr>
          <w:rFonts w:ascii="仿宋" w:eastAsia="仿宋"/>
          <w:bCs/>
          <w:sz w:val="32"/>
          <w:szCs w:val="32"/>
        </w:rPr>
        <w:t>给予</w:t>
      </w:r>
      <w:r>
        <w:rPr>
          <w:rFonts w:ascii="仿宋" w:eastAsia="仿宋" w:hint="eastAsia"/>
          <w:bCs/>
          <w:sz w:val="32"/>
          <w:szCs w:val="32"/>
        </w:rPr>
        <w:t>3</w:t>
      </w:r>
      <w:r>
        <w:rPr>
          <w:rFonts w:ascii="仿宋" w:eastAsia="仿宋"/>
          <w:bCs/>
          <w:sz w:val="32"/>
          <w:szCs w:val="32"/>
        </w:rPr>
        <w:t>年房租补贴，每家企业</w:t>
      </w:r>
      <w:r>
        <w:rPr>
          <w:rFonts w:ascii="仿宋" w:eastAsia="仿宋" w:hint="eastAsia"/>
          <w:bCs/>
          <w:sz w:val="32"/>
          <w:szCs w:val="32"/>
        </w:rPr>
        <w:t>每年</w:t>
      </w:r>
      <w:r>
        <w:rPr>
          <w:rFonts w:ascii="仿宋" w:eastAsia="仿宋"/>
          <w:bCs/>
          <w:sz w:val="32"/>
          <w:szCs w:val="32"/>
        </w:rPr>
        <w:t>房租补贴最高不超过20</w:t>
      </w:r>
      <w:r>
        <w:rPr>
          <w:rFonts w:ascii="仿宋" w:eastAsia="仿宋"/>
          <w:bCs/>
          <w:color w:val="000000"/>
          <w:sz w:val="32"/>
          <w:szCs w:val="32"/>
        </w:rPr>
        <w:t>万元；</w:t>
      </w:r>
      <w:r>
        <w:rPr>
          <w:rFonts w:ascii="仿宋" w:eastAsia="仿宋"/>
          <w:bCs/>
          <w:sz w:val="32"/>
          <w:szCs w:val="32"/>
        </w:rPr>
        <w:t>对购置自用办公用房面积超过</w:t>
      </w:r>
      <w:r>
        <w:rPr>
          <w:rFonts w:ascii="仿宋" w:eastAsia="仿宋" w:hint="eastAsia"/>
          <w:bCs/>
          <w:sz w:val="32"/>
          <w:szCs w:val="32"/>
        </w:rPr>
        <w:t>5</w:t>
      </w:r>
      <w:r>
        <w:rPr>
          <w:rFonts w:ascii="仿宋" w:eastAsia="仿宋"/>
          <w:bCs/>
          <w:sz w:val="32"/>
          <w:szCs w:val="32"/>
        </w:rPr>
        <w:t>00平方米的企业，可享受每平方米1000元的一次性购房补贴，每家企业补贴最高不超过</w:t>
      </w:r>
      <w:r>
        <w:rPr>
          <w:rFonts w:ascii="仿宋" w:eastAsia="仿宋"/>
          <w:bCs/>
          <w:color w:val="000000"/>
          <w:sz w:val="32"/>
          <w:szCs w:val="32"/>
        </w:rPr>
        <w:t>100</w:t>
      </w:r>
      <w:r>
        <w:rPr>
          <w:rFonts w:ascii="仿宋" w:eastAsia="仿宋"/>
          <w:bCs/>
          <w:sz w:val="32"/>
          <w:szCs w:val="32"/>
        </w:rPr>
        <w:t>万元。</w:t>
      </w:r>
      <w:r>
        <w:rPr>
          <w:rFonts w:ascii="仿宋" w:eastAsia="仿宋" w:hint="eastAsia"/>
          <w:bCs/>
          <w:sz w:val="32"/>
          <w:szCs w:val="32"/>
        </w:rPr>
        <w:t>”</w:t>
      </w:r>
    </w:p>
    <w:p>
      <w:pPr>
        <w:spacing w:line="600" w:lineRule="exact"/>
        <w:ind w:firstLineChars="200" w:firstLine="640"/>
        <w:rPr>
          <w:rFonts w:ascii="楷体" w:eastAsia="楷体" w:cs="仿宋"/>
          <w:bCs/>
          <w:sz w:val="32"/>
          <w:szCs w:val="32"/>
        </w:rPr>
      </w:pPr>
      <w:r>
        <w:rPr>
          <w:rFonts w:ascii="仿宋_GB2312" w:eastAsia="仿宋_GB2312" w:cs="仿宋_GB2312"/>
          <w:sz w:val="32"/>
          <w:szCs w:val="32"/>
        </w:rPr>
        <w:t>二是加大招商力度。</w:t>
      </w:r>
      <w:r>
        <w:rPr>
          <w:rFonts w:ascii="仿宋_GB2312" w:eastAsia="仿宋_GB2312" w:cs="仿宋_GB2312" w:hint="eastAsia"/>
          <w:b/>
          <w:bCs/>
          <w:sz w:val="32"/>
          <w:szCs w:val="32"/>
        </w:rPr>
        <w:t>“</w:t>
      </w:r>
      <w:r>
        <w:rPr>
          <w:rFonts w:ascii="仿宋_GB2312" w:eastAsia="仿宋_GB2312" w:cs="仿宋_GB2312"/>
          <w:b/>
          <w:bCs/>
          <w:sz w:val="32"/>
          <w:szCs w:val="32"/>
        </w:rPr>
        <w:t>第4条</w:t>
      </w:r>
      <w:r>
        <w:rPr>
          <w:rFonts w:ascii="仿宋_GB2312" w:eastAsia="仿宋_GB2312" w:cs="仿宋_GB2312" w:hint="eastAsia"/>
          <w:b/>
          <w:bCs/>
          <w:sz w:val="32"/>
          <w:szCs w:val="32"/>
        </w:rPr>
        <w:t>”</w:t>
      </w:r>
      <w:r>
        <w:rPr>
          <w:rFonts w:ascii="仿宋_GB2312" w:eastAsia="仿宋_GB2312" w:cs="仿宋_GB2312" w:hint="eastAsia"/>
          <w:sz w:val="32"/>
          <w:szCs w:val="32"/>
        </w:rPr>
        <w:t>是</w:t>
      </w:r>
      <w:r>
        <w:rPr>
          <w:rFonts w:ascii="仿宋_GB2312" w:eastAsia="仿宋_GB2312" w:cs="仿宋_GB2312"/>
          <w:sz w:val="32"/>
          <w:szCs w:val="32"/>
        </w:rPr>
        <w:t>对引进大型企业或项目的企业或机构给予奖励，主要是鼓励对外招商。</w:t>
      </w:r>
      <w:r>
        <w:rPr>
          <w:rFonts w:ascii="仿宋_GB2312" w:eastAsia="仿宋_GB2312" w:cs="仿宋_GB2312" w:hint="eastAsia"/>
          <w:sz w:val="32"/>
          <w:szCs w:val="32"/>
        </w:rPr>
        <w:t>“</w:t>
      </w:r>
      <w:r>
        <w:rPr>
          <w:rFonts w:ascii="仿宋" w:eastAsia="仿宋"/>
          <w:bCs/>
          <w:sz w:val="32"/>
          <w:szCs w:val="32"/>
        </w:rPr>
        <w:t>对成功引进</w:t>
      </w:r>
      <w:r>
        <w:rPr>
          <w:rFonts w:ascii="仿宋" w:eastAsia="仿宋" w:cs="仿宋"/>
          <w:bCs/>
          <w:sz w:val="32"/>
          <w:szCs w:val="32"/>
        </w:rPr>
        <w:t>实缴注册资本金超5000万元</w:t>
      </w:r>
      <w:r>
        <w:rPr>
          <w:rFonts w:ascii="仿宋" w:eastAsia="仿宋"/>
          <w:bCs/>
          <w:sz w:val="32"/>
          <w:szCs w:val="32"/>
        </w:rPr>
        <w:t>的企业或机构，按引进项目实际投入资金的2%给予一次性奖励，单个项目奖励最高不超过100万元。同一企业或机构每年累计奖励不超过200万元。</w:t>
      </w:r>
      <w:r>
        <w:rPr>
          <w:rFonts w:ascii="仿宋" w:eastAsia="仿宋" w:hint="eastAsia"/>
          <w:bCs/>
          <w:sz w:val="32"/>
          <w:szCs w:val="32"/>
        </w:rPr>
        <w:t>”</w:t>
      </w:r>
    </w:p>
    <w:p>
      <w:pPr>
        <w:spacing w:line="600" w:lineRule="exact"/>
        <w:ind w:firstLineChars="200" w:firstLine="640"/>
        <w:rPr>
          <w:rFonts w:ascii="仿宋" w:eastAsia="仿宋"/>
          <w:bCs/>
          <w:sz w:val="32"/>
          <w:szCs w:val="32"/>
        </w:rPr>
      </w:pPr>
      <w:r>
        <w:rPr>
          <w:rFonts w:ascii="仿宋_GB2312" w:eastAsia="仿宋_GB2312" w:cs="仿宋_GB2312"/>
          <w:sz w:val="32"/>
          <w:szCs w:val="32"/>
        </w:rPr>
        <w:t>三是鼓励企业做大做强做优。</w:t>
      </w:r>
      <w:r>
        <w:rPr>
          <w:rFonts w:ascii="仿宋_GB2312" w:eastAsia="仿宋_GB2312" w:cs="仿宋_GB2312" w:hint="eastAsia"/>
          <w:b/>
          <w:bCs/>
          <w:sz w:val="32"/>
          <w:szCs w:val="32"/>
        </w:rPr>
        <w:t>“</w:t>
      </w:r>
      <w:r>
        <w:rPr>
          <w:rFonts w:ascii="仿宋_GB2312" w:eastAsia="仿宋_GB2312" w:cs="仿宋_GB2312"/>
          <w:b/>
          <w:bCs/>
          <w:sz w:val="32"/>
          <w:szCs w:val="32"/>
        </w:rPr>
        <w:t>第5条</w:t>
      </w:r>
      <w:r>
        <w:rPr>
          <w:rFonts w:ascii="仿宋_GB2312" w:eastAsia="仿宋_GB2312" w:cs="仿宋_GB2312" w:hint="eastAsia"/>
          <w:b/>
          <w:bCs/>
          <w:sz w:val="32"/>
          <w:szCs w:val="32"/>
        </w:rPr>
        <w:t>”</w:t>
      </w:r>
      <w:r>
        <w:rPr>
          <w:rFonts w:ascii="仿宋_GB2312" w:eastAsia="仿宋_GB2312" w:cs="仿宋_GB2312"/>
          <w:sz w:val="32"/>
          <w:szCs w:val="32"/>
        </w:rPr>
        <w:t>是对年度营业收入分别达到1000万元以上和500万元以上的信息服务企业和虚拟现实企业给予一定的奖励。</w:t>
      </w:r>
      <w:r>
        <w:rPr>
          <w:rFonts w:ascii="仿宋_GB2312" w:eastAsia="仿宋_GB2312" w:cs="仿宋_GB2312" w:hint="eastAsia"/>
          <w:sz w:val="32"/>
          <w:szCs w:val="32"/>
        </w:rPr>
        <w:t>“</w:t>
      </w:r>
      <w:r>
        <w:rPr>
          <w:rFonts w:ascii="仿宋" w:eastAsia="仿宋"/>
          <w:bCs/>
          <w:sz w:val="32"/>
          <w:szCs w:val="32"/>
        </w:rPr>
        <w:t>年度营业收入达1000万元以上且年度营业收入或利润总额增幅达到15%以上的信息服务企业，按照其当年度对区级经济贡献</w:t>
      </w:r>
      <w:r>
        <w:rPr>
          <w:rFonts w:ascii="仿宋" w:eastAsia="仿宋"/>
          <w:bCs/>
          <w:color w:val="000000"/>
          <w:sz w:val="32"/>
          <w:szCs w:val="32"/>
        </w:rPr>
        <w:t>50%</w:t>
      </w:r>
      <w:r>
        <w:rPr>
          <w:rFonts w:ascii="仿宋" w:eastAsia="仿宋"/>
          <w:bCs/>
          <w:sz w:val="32"/>
          <w:szCs w:val="32"/>
        </w:rPr>
        <w:t>的比例给予补助，最高不超过</w:t>
      </w:r>
      <w:r>
        <w:rPr>
          <w:rFonts w:ascii="仿宋" w:eastAsia="仿宋"/>
          <w:bCs/>
          <w:color w:val="000000"/>
          <w:sz w:val="32"/>
          <w:szCs w:val="32"/>
        </w:rPr>
        <w:t>50</w:t>
      </w:r>
      <w:r>
        <w:rPr>
          <w:rFonts w:ascii="仿宋" w:eastAsia="仿宋"/>
          <w:bCs/>
          <w:sz w:val="32"/>
          <w:szCs w:val="32"/>
        </w:rPr>
        <w:t>万元，按照40%、30%、30%的比例，分三年执行。</w:t>
      </w:r>
      <w:r>
        <w:rPr>
          <w:rFonts w:ascii="仿宋" w:eastAsia="仿宋" w:hint="eastAsia"/>
          <w:bCs/>
          <w:sz w:val="32"/>
          <w:szCs w:val="32"/>
        </w:rPr>
        <w:t>”</w:t>
      </w:r>
    </w:p>
    <w:p>
      <w:pPr>
        <w:spacing w:line="600" w:lineRule="exact"/>
        <w:ind w:firstLineChars="200" w:firstLine="640"/>
        <w:rPr>
          <w:rFonts w:ascii="仿宋" w:eastAsia="仿宋"/>
          <w:bCs/>
          <w:sz w:val="32"/>
          <w:szCs w:val="32"/>
        </w:rPr>
      </w:pPr>
      <w:r>
        <w:rPr>
          <w:rFonts w:ascii="仿宋" w:eastAsia="仿宋" w:hint="eastAsia"/>
          <w:bCs/>
          <w:sz w:val="32"/>
          <w:szCs w:val="32"/>
        </w:rPr>
        <w:t>“</w:t>
      </w:r>
      <w:r>
        <w:rPr>
          <w:rFonts w:ascii="仿宋" w:eastAsia="仿宋"/>
          <w:bCs/>
          <w:sz w:val="32"/>
          <w:szCs w:val="32"/>
        </w:rPr>
        <w:t>年度营业收入达500万元以上的虚拟现实企业且年度营业收入或利润总额增幅达到10%以上的</w:t>
      </w:r>
      <w:r>
        <w:rPr>
          <w:rFonts w:ascii="仿宋" w:eastAsia="仿宋" w:hint="eastAsia"/>
          <w:bCs/>
          <w:sz w:val="32"/>
          <w:szCs w:val="32"/>
        </w:rPr>
        <w:t>虚拟现实</w:t>
      </w:r>
      <w:r>
        <w:rPr>
          <w:rFonts w:ascii="仿宋" w:eastAsia="仿宋"/>
          <w:bCs/>
          <w:sz w:val="32"/>
          <w:szCs w:val="32"/>
        </w:rPr>
        <w:t>企业，按照其当年对区级经济贡献</w:t>
      </w:r>
      <w:r>
        <w:rPr>
          <w:rFonts w:ascii="仿宋" w:eastAsia="仿宋"/>
          <w:bCs/>
          <w:color w:val="000000"/>
          <w:sz w:val="32"/>
          <w:szCs w:val="32"/>
        </w:rPr>
        <w:t>50%</w:t>
      </w:r>
      <w:r>
        <w:rPr>
          <w:rFonts w:ascii="仿宋" w:eastAsia="仿宋"/>
          <w:bCs/>
          <w:sz w:val="32"/>
          <w:szCs w:val="32"/>
        </w:rPr>
        <w:t>的比例给予补助，最高不超过50万元，按照40%、30%、30%的比例，分三年执行。</w:t>
      </w:r>
      <w:r>
        <w:rPr>
          <w:rFonts w:ascii="仿宋" w:eastAsia="仿宋" w:hint="eastAsia"/>
          <w:bCs/>
          <w:sz w:val="32"/>
          <w:szCs w:val="32"/>
        </w:rPr>
        <w:t>”</w:t>
      </w:r>
    </w:p>
    <w:p>
      <w:pPr>
        <w:spacing w:line="600" w:lineRule="exact"/>
        <w:ind w:firstLineChars="200" w:firstLine="640"/>
        <w:rPr>
          <w:rFonts w:ascii="仿宋" w:eastAsia="仿宋"/>
          <w:bCs/>
          <w:color w:val="000000"/>
          <w:sz w:val="32"/>
          <w:szCs w:val="32"/>
        </w:rPr>
      </w:pPr>
      <w:r>
        <w:rPr>
          <w:rFonts w:ascii="仿宋_GB2312" w:eastAsia="仿宋_GB2312" w:cs="仿宋_GB2312"/>
          <w:sz w:val="32"/>
          <w:szCs w:val="32"/>
        </w:rPr>
        <w:t>四是鼓励企业加大研发投入。</w:t>
      </w:r>
      <w:r>
        <w:rPr>
          <w:rFonts w:ascii="仿宋_GB2312" w:eastAsia="仿宋_GB2312" w:cs="仿宋_GB2312" w:hint="eastAsia"/>
          <w:b/>
          <w:bCs/>
          <w:sz w:val="32"/>
          <w:szCs w:val="32"/>
        </w:rPr>
        <w:t>“</w:t>
      </w:r>
      <w:r>
        <w:rPr>
          <w:rFonts w:ascii="仿宋_GB2312" w:eastAsia="仿宋_GB2312" w:cs="仿宋_GB2312"/>
          <w:b/>
          <w:bCs/>
          <w:sz w:val="32"/>
          <w:szCs w:val="32"/>
        </w:rPr>
        <w:t>第6条</w:t>
      </w:r>
      <w:r>
        <w:rPr>
          <w:rFonts w:ascii="仿宋_GB2312" w:eastAsia="仿宋_GB2312" w:cs="仿宋_GB2312" w:hint="eastAsia"/>
          <w:b/>
          <w:bCs/>
          <w:sz w:val="32"/>
          <w:szCs w:val="32"/>
        </w:rPr>
        <w:t>”</w:t>
      </w:r>
      <w:r>
        <w:rPr>
          <w:rFonts w:ascii="仿宋_GB2312" w:eastAsia="仿宋_GB2312" w:cs="仿宋_GB2312"/>
          <w:sz w:val="32"/>
          <w:szCs w:val="32"/>
        </w:rPr>
        <w:t>对研发投入大的企业予以一定的奖励。</w:t>
      </w:r>
      <w:r>
        <w:rPr>
          <w:rFonts w:ascii="仿宋_GB2312" w:eastAsia="仿宋_GB2312" w:cs="仿宋_GB2312" w:hint="eastAsia"/>
          <w:sz w:val="32"/>
          <w:szCs w:val="32"/>
        </w:rPr>
        <w:t>“</w:t>
      </w:r>
      <w:r>
        <w:rPr>
          <w:rFonts w:ascii="仿宋" w:eastAsia="仿宋" w:hint="eastAsia"/>
          <w:bCs/>
          <w:color w:val="000000"/>
          <w:sz w:val="32"/>
          <w:szCs w:val="32"/>
        </w:rPr>
        <w:t>对研发投入不低于50万元或者研发投入占主营业务收入比重不低于</w:t>
      </w:r>
      <w:r>
        <w:rPr>
          <w:rFonts w:ascii="仿宋" w:eastAsia="仿宋" w:hint="eastAsia"/>
          <w:bCs/>
          <w:color w:val="000000"/>
          <w:sz w:val="32"/>
          <w:szCs w:val="32"/>
          <w:lang w:val="en-US" w:eastAsia="zh-CN"/>
        </w:rPr>
        <w:t>3</w:t>
      </w:r>
      <w:r>
        <w:rPr>
          <w:rFonts w:ascii="仿宋" w:eastAsia="仿宋" w:hint="eastAsia"/>
          <w:bCs/>
          <w:color w:val="000000"/>
          <w:sz w:val="32"/>
          <w:szCs w:val="32"/>
        </w:rPr>
        <w:t>%的研发型企业，在其当年对区级经济贡献</w:t>
      </w:r>
      <w:r>
        <w:rPr>
          <w:rFonts w:ascii="仿宋" w:eastAsia="仿宋"/>
          <w:bCs/>
          <w:color w:val="000000"/>
          <w:sz w:val="32"/>
          <w:szCs w:val="32"/>
        </w:rPr>
        <w:t>3</w:t>
      </w:r>
      <w:r>
        <w:rPr>
          <w:rFonts w:ascii="仿宋" w:eastAsia="仿宋" w:hint="eastAsia"/>
          <w:bCs/>
          <w:color w:val="000000"/>
          <w:sz w:val="32"/>
          <w:szCs w:val="32"/>
        </w:rPr>
        <w:t>0%的范围内，每年按照不超过设备购置、研发投入等实际费用支出的20%给予最高不超过50万元的资金支持</w:t>
      </w:r>
      <w:r>
        <w:rPr>
          <w:rFonts w:ascii="仿宋" w:eastAsia="仿宋" w:hint="eastAsia"/>
          <w:bCs/>
          <w:color w:val="000000"/>
          <w:sz w:val="32"/>
          <w:szCs w:val="32"/>
          <w:lang w:eastAsia="zh-CN"/>
        </w:rPr>
        <w:t>。”</w:t>
      </w:r>
    </w:p>
    <w:p>
      <w:pPr>
        <w:spacing w:line="560" w:lineRule="exact"/>
        <w:ind w:firstLineChars="200" w:firstLine="640"/>
        <w:rPr>
          <w:rFonts w:ascii="仿宋" w:eastAsia="仿宋"/>
          <w:sz w:val="32"/>
          <w:szCs w:val="32"/>
        </w:rPr>
      </w:pPr>
      <w:r>
        <w:rPr>
          <w:rFonts w:ascii="仿宋_GB2312" w:eastAsia="仿宋_GB2312" w:cs="仿宋_GB2312"/>
          <w:sz w:val="32"/>
          <w:szCs w:val="32"/>
        </w:rPr>
        <w:t>五是搭建科技成果转化和产业发展平台。</w:t>
      </w:r>
      <w:r>
        <w:rPr>
          <w:rFonts w:ascii="仿宋_GB2312" w:eastAsia="仿宋_GB2312" w:cs="仿宋_GB2312" w:hint="eastAsia"/>
          <w:b/>
          <w:bCs/>
          <w:sz w:val="32"/>
          <w:szCs w:val="32"/>
        </w:rPr>
        <w:t>“</w:t>
      </w:r>
      <w:r>
        <w:rPr>
          <w:rFonts w:ascii="仿宋_GB2312" w:eastAsia="仿宋_GB2312" w:cs="仿宋_GB2312"/>
          <w:b/>
          <w:bCs/>
          <w:sz w:val="32"/>
          <w:szCs w:val="32"/>
        </w:rPr>
        <w:t>第7条</w:t>
      </w:r>
      <w:r>
        <w:rPr>
          <w:rFonts w:ascii="仿宋_GB2312" w:eastAsia="仿宋_GB2312" w:cs="仿宋_GB2312" w:hint="eastAsia"/>
          <w:b/>
          <w:bCs/>
          <w:sz w:val="32"/>
          <w:szCs w:val="32"/>
        </w:rPr>
        <w:t>”</w:t>
      </w:r>
      <w:r>
        <w:rPr>
          <w:rFonts w:ascii="仿宋_GB2312" w:eastAsia="仿宋_GB2312" w:cs="仿宋_GB2312"/>
          <w:sz w:val="32"/>
          <w:szCs w:val="32"/>
        </w:rPr>
        <w:t>设立</w:t>
      </w:r>
      <w:r>
        <w:rPr>
          <w:rFonts w:ascii="仿宋_GB2312" w:eastAsia="仿宋_GB2312" w:cs="仿宋_GB2312" w:hint="eastAsia"/>
          <w:sz w:val="32"/>
          <w:szCs w:val="32"/>
        </w:rPr>
        <w:t>“</w:t>
      </w:r>
      <w:r>
        <w:rPr>
          <w:rFonts w:ascii="仿宋_GB2312" w:eastAsia="仿宋_GB2312" w:cs="仿宋_GB2312"/>
          <w:sz w:val="32"/>
          <w:szCs w:val="32"/>
        </w:rPr>
        <w:t>科创双向飞地</w:t>
      </w:r>
      <w:r>
        <w:rPr>
          <w:rFonts w:ascii="仿宋_GB2312" w:eastAsia="仿宋_GB2312" w:cs="仿宋_GB2312" w:hint="eastAsia"/>
          <w:sz w:val="32"/>
          <w:szCs w:val="32"/>
        </w:rPr>
        <w:t>”</w:t>
      </w:r>
      <w:r>
        <w:rPr>
          <w:rFonts w:ascii="仿宋_GB2312" w:eastAsia="仿宋_GB2312" w:cs="仿宋_GB2312"/>
          <w:sz w:val="32"/>
          <w:szCs w:val="32"/>
        </w:rPr>
        <w:t>，吸引人才、资本、技术等创新要素，帮助企业做大做强做优。</w:t>
      </w:r>
      <w:r>
        <w:rPr>
          <w:rFonts w:ascii="仿宋_GB2312" w:eastAsia="仿宋_GB2312" w:cs="仿宋_GB2312" w:hint="eastAsia"/>
          <w:sz w:val="32"/>
          <w:szCs w:val="32"/>
        </w:rPr>
        <w:t>“</w:t>
      </w:r>
      <w:r>
        <w:rPr>
          <w:rFonts w:ascii="仿宋" w:eastAsia="仿宋" w:hint="eastAsia"/>
          <w:sz w:val="32"/>
          <w:szCs w:val="32"/>
        </w:rPr>
        <w:t>整合时空要素，搭建科技成果转化和产业发展平台，吸引人才、资本、技术等创新要素。企业入驻“飞地”，享受金水区相关政策扶持。申请“飞地”的企业需是在金水</w:t>
      </w:r>
      <w:r>
        <w:rPr>
          <w:rFonts w:ascii="仿宋" w:eastAsia="仿宋"/>
          <w:sz w:val="32"/>
          <w:szCs w:val="32"/>
        </w:rPr>
        <w:t>区</w:t>
      </w:r>
      <w:r>
        <w:rPr>
          <w:rFonts w:ascii="仿宋" w:eastAsia="仿宋" w:hint="eastAsia"/>
          <w:sz w:val="32"/>
          <w:szCs w:val="32"/>
        </w:rPr>
        <w:t>注册，且有独立法人资格，并缴纳税费的国家高新技术企业、科技型中小企业等。经考评合格，最高可获得40元</w:t>
      </w:r>
      <w:r>
        <w:rPr>
          <w:rFonts w:ascii="仿宋" w:eastAsia="仿宋" w:cs="仿宋" w:hint="eastAsia"/>
          <w:sz w:val="32"/>
          <w:szCs w:val="32"/>
        </w:rPr>
        <w:t>/平方米/月的</w:t>
      </w:r>
      <w:r>
        <w:rPr>
          <w:rFonts w:ascii="仿宋" w:eastAsia="仿宋" w:hint="eastAsia"/>
          <w:sz w:val="32"/>
          <w:szCs w:val="32"/>
        </w:rPr>
        <w:t>年度房租补贴，总补贴额不超过企业总研发投入的40%。每个企业“飞地”补助面积原则上不超过500平方米。“飞地”生产经营型的企业应符合金水</w:t>
      </w:r>
      <w:r>
        <w:rPr>
          <w:rFonts w:ascii="仿宋" w:eastAsia="仿宋"/>
          <w:sz w:val="32"/>
          <w:szCs w:val="32"/>
        </w:rPr>
        <w:t>区</w:t>
      </w:r>
      <w:r>
        <w:rPr>
          <w:rFonts w:ascii="仿宋" w:eastAsia="仿宋" w:hint="eastAsia"/>
          <w:sz w:val="32"/>
          <w:szCs w:val="32"/>
        </w:rPr>
        <w:t>产业发展的需求。”</w:t>
      </w:r>
    </w:p>
    <w:p>
      <w:pPr>
        <w:pStyle w:val="16"/>
        <w:keepNext w:val="0"/>
        <w:keepLines w:val="0"/>
        <w:pageBreakBefore w:val="0"/>
        <w:widowControl/>
        <w:suppressLineNumbers w:val="0"/>
        <w:kinsoku/>
        <w:wordWrap/>
        <w:overflowPunct/>
        <w:topLinePunct w:val="0"/>
        <w:autoSpaceDE/>
        <w:autoSpaceDN/>
        <w:adjustRightInd/>
        <w:snapToGrid/>
        <w:spacing w:beforeAutospacing="0" w:afterAutospacing="0" w:line="600" w:lineRule="exact"/>
        <w:ind w:leftChars="304" w:left="638" w:firstLine="0"/>
        <w:rPr>
          <w:rFonts w:ascii="仿宋_GB2312" w:eastAsia="仿宋_GB2312" w:cs="仿宋_GB2312"/>
          <w:sz w:val="32"/>
          <w:szCs w:val="32"/>
        </w:rPr>
      </w:pPr>
      <w:r>
        <w:rPr>
          <w:rFonts w:ascii="仿宋_GB2312" w:eastAsia="仿宋_GB2312" w:cs="仿宋_GB2312"/>
          <w:sz w:val="32"/>
          <w:szCs w:val="32"/>
        </w:rPr>
        <w:t>六是拓展园区发展空间。</w:t>
      </w:r>
      <w:r>
        <w:rPr>
          <w:rFonts w:ascii="仿宋_GB2312" w:eastAsia="仿宋_GB2312" w:cs="仿宋_GB2312" w:hint="eastAsia"/>
          <w:b/>
          <w:bCs/>
          <w:sz w:val="32"/>
          <w:szCs w:val="32"/>
        </w:rPr>
        <w:t>“</w:t>
      </w:r>
      <w:r>
        <w:rPr>
          <w:rFonts w:ascii="仿宋_GB2312" w:eastAsia="仿宋_GB2312" w:cs="仿宋_GB2312"/>
          <w:b/>
          <w:bCs/>
          <w:sz w:val="32"/>
          <w:szCs w:val="32"/>
        </w:rPr>
        <w:t>第8条</w:t>
      </w:r>
      <w:r>
        <w:rPr>
          <w:rFonts w:ascii="仿宋_GB2312" w:eastAsia="仿宋_GB2312" w:cs="仿宋_GB2312" w:hint="eastAsia"/>
          <w:b/>
          <w:bCs/>
          <w:sz w:val="32"/>
          <w:szCs w:val="32"/>
        </w:rPr>
        <w:t>”</w:t>
      </w:r>
      <w:r>
        <w:rPr>
          <w:rFonts w:ascii="仿宋_GB2312" w:eastAsia="仿宋_GB2312" w:cs="仿宋_GB2312"/>
          <w:b/>
          <w:bCs/>
          <w:sz w:val="32"/>
          <w:szCs w:val="32"/>
        </w:rPr>
        <w:t>是</w:t>
      </w:r>
      <w:r>
        <w:rPr>
          <w:rFonts w:ascii="仿宋_GB2312" w:eastAsia="仿宋_GB2312" w:cs="仿宋_GB2312"/>
          <w:sz w:val="32"/>
          <w:szCs w:val="32"/>
        </w:rPr>
        <w:t>整合资源，联合大中</w:t>
      </w:r>
    </w:p>
    <w:p>
      <w:pPr>
        <w:pStyle w:val="16"/>
        <w:keepNext w:val="0"/>
        <w:keepLines w:val="0"/>
        <w:pageBreakBefore w:val="0"/>
        <w:widowControl/>
        <w:suppressLineNumbers w:val="0"/>
        <w:kinsoku/>
        <w:wordWrap/>
        <w:overflowPunct/>
        <w:topLinePunct w:val="0"/>
        <w:autoSpaceDE/>
        <w:autoSpaceDN/>
        <w:adjustRightInd/>
        <w:snapToGrid/>
        <w:spacing w:beforeAutospacing="0" w:afterAutospacing="0" w:line="600" w:lineRule="exact"/>
        <w:ind w:left="60"/>
        <w:rPr>
          <w:rFonts w:ascii="仿宋_GB2312" w:eastAsia="仿宋_GB2312" w:cs="仿宋_GB2312"/>
          <w:sz w:val="32"/>
          <w:szCs w:val="32"/>
        </w:rPr>
      </w:pPr>
      <w:r>
        <w:rPr>
          <w:rFonts w:ascii="仿宋_GB2312" w:eastAsia="仿宋_GB2312" w:cs="仿宋_GB2312"/>
          <w:sz w:val="32"/>
          <w:szCs w:val="32"/>
        </w:rPr>
        <w:t>专院校、科研院所及企业技术研发中心共建融合科技园，一方面拓展园区发展空间，另一方面实现资源共享。</w:t>
      </w:r>
      <w:r>
        <w:rPr>
          <w:rFonts w:ascii="仿宋_GB2312" w:eastAsia="仿宋_GB2312" w:cs="仿宋_GB2312" w:hint="eastAsia"/>
          <w:sz w:val="32"/>
          <w:szCs w:val="32"/>
        </w:rPr>
        <w:t>“</w:t>
      </w:r>
      <w:r>
        <w:rPr>
          <w:rFonts w:ascii="仿宋" w:eastAsia="仿宋" w:hint="eastAsia"/>
          <w:sz w:val="32"/>
          <w:szCs w:val="32"/>
        </w:rPr>
        <w:t>凡大中专院校、科研院所及企业技术研发中心等提供场所与园区合作建立融合科技园，可按照</w:t>
      </w:r>
      <w:r>
        <w:rPr>
          <w:rFonts w:ascii="仿宋" w:eastAsia="仿宋" w:hint="eastAsia"/>
          <w:sz w:val="32"/>
          <w:szCs w:val="32"/>
          <w:lang w:val="en-US" w:eastAsia="zh-CN"/>
        </w:rPr>
        <w:t>6</w:t>
      </w:r>
      <w:r>
        <w:rPr>
          <w:rFonts w:ascii="仿宋" w:eastAsia="仿宋" w:hint="eastAsia"/>
          <w:sz w:val="32"/>
          <w:szCs w:val="32"/>
        </w:rPr>
        <w:t>00元</w:t>
      </w:r>
      <w:r>
        <w:rPr>
          <w:rFonts w:ascii="仿宋" w:eastAsia="仿宋" w:cs="仿宋" w:hint="eastAsia"/>
          <w:sz w:val="32"/>
          <w:szCs w:val="32"/>
        </w:rPr>
        <w:t>/</w:t>
      </w:r>
      <w:r>
        <w:rPr>
          <w:rFonts w:ascii="仿宋" w:eastAsia="仿宋" w:hint="eastAsia"/>
          <w:sz w:val="32"/>
          <w:szCs w:val="32"/>
        </w:rPr>
        <w:t>平方米简装的标准补助场地装修费（每个单位不超过</w:t>
      </w:r>
      <w:r>
        <w:rPr>
          <w:rFonts w:ascii="仿宋" w:eastAsia="仿宋" w:hint="eastAsia"/>
          <w:sz w:val="32"/>
          <w:szCs w:val="32"/>
          <w:lang w:val="en-US" w:eastAsia="zh-CN"/>
        </w:rPr>
        <w:t>1</w:t>
      </w:r>
      <w:r>
        <w:rPr>
          <w:rFonts w:ascii="仿宋" w:eastAsia="仿宋" w:hint="eastAsia"/>
          <w:sz w:val="32"/>
          <w:szCs w:val="32"/>
        </w:rPr>
        <w:t>000平方米），或者每个融合科技园给予不超过</w:t>
      </w:r>
      <w:r>
        <w:rPr>
          <w:rFonts w:ascii="仿宋" w:eastAsia="仿宋" w:hint="eastAsia"/>
          <w:sz w:val="32"/>
          <w:szCs w:val="32"/>
          <w:lang w:val="en-US" w:eastAsia="zh-CN"/>
        </w:rPr>
        <w:t>6</w:t>
      </w:r>
      <w:r>
        <w:rPr>
          <w:rFonts w:ascii="仿宋" w:eastAsia="仿宋" w:hint="eastAsia"/>
          <w:sz w:val="32"/>
          <w:szCs w:val="32"/>
        </w:rPr>
        <w:t>0万元的基础开办费补助等，入住融合科技园的企业、人才，享受科技园区资金扶持以及项目、人才支持等“金管家”服务。”</w:t>
      </w:r>
    </w:p>
    <w:p>
      <w:pPr>
        <w:spacing w:line="560" w:lineRule="exact"/>
        <w:ind w:firstLineChars="200" w:firstLine="640"/>
        <w:rPr>
          <w:rFonts w:ascii="仿宋" w:eastAsia="仿宋"/>
          <w:sz w:val="32"/>
          <w:szCs w:val="32"/>
        </w:rPr>
      </w:pPr>
      <w:r>
        <w:rPr>
          <w:rFonts w:ascii="仿宋_GB2312" w:eastAsia="仿宋_GB2312" w:cs="仿宋_GB2312"/>
          <w:sz w:val="32"/>
          <w:szCs w:val="32"/>
        </w:rPr>
        <w:t>七是吸引行业头部企业入驻金水。</w:t>
      </w:r>
      <w:r>
        <w:rPr>
          <w:rFonts w:ascii="仿宋_GB2312" w:eastAsia="仿宋_GB2312" w:cs="仿宋_GB2312" w:hint="eastAsia"/>
          <w:b/>
          <w:bCs/>
          <w:sz w:val="32"/>
          <w:szCs w:val="32"/>
        </w:rPr>
        <w:t>“</w:t>
      </w:r>
      <w:r>
        <w:rPr>
          <w:rFonts w:ascii="仿宋_GB2312" w:eastAsia="仿宋_GB2312" w:cs="仿宋_GB2312"/>
          <w:b/>
          <w:bCs/>
          <w:sz w:val="32"/>
          <w:szCs w:val="32"/>
        </w:rPr>
        <w:t>第9条</w:t>
      </w:r>
      <w:r>
        <w:rPr>
          <w:rFonts w:ascii="仿宋_GB2312" w:eastAsia="仿宋_GB2312" w:cs="仿宋_GB2312" w:hint="eastAsia"/>
          <w:b/>
          <w:bCs/>
          <w:sz w:val="32"/>
          <w:szCs w:val="32"/>
        </w:rPr>
        <w:t>”</w:t>
      </w:r>
      <w:r>
        <w:rPr>
          <w:rFonts w:ascii="仿宋_GB2312" w:eastAsia="仿宋_GB2312" w:cs="仿宋_GB2312"/>
          <w:sz w:val="32"/>
          <w:szCs w:val="32"/>
        </w:rPr>
        <w:t>是通过鼓励行业协会等社会团体协同相关市场主体制定并推广高于推荐性标准、相关技术要求的团体标准，吸引行业头部企业入驻金水。</w:t>
      </w:r>
      <w:r>
        <w:rPr>
          <w:rFonts w:ascii="仿宋_GB2312" w:eastAsia="仿宋_GB2312" w:cs="仿宋_GB2312" w:hint="eastAsia"/>
          <w:sz w:val="32"/>
          <w:szCs w:val="32"/>
        </w:rPr>
        <w:t>“</w:t>
      </w:r>
      <w:r>
        <w:rPr>
          <w:rFonts w:ascii="仿宋" w:eastAsia="仿宋" w:cs="仿宋" w:hint="eastAsia"/>
          <w:sz w:val="32"/>
          <w:szCs w:val="32"/>
        </w:rPr>
        <w:t>鼓励发展团体标准，促进产业结构调整和优化升级，占领高质量发展的制高点。</w:t>
      </w:r>
      <w:r>
        <w:rPr>
          <w:rFonts w:ascii="仿宋" w:eastAsia="仿宋" w:hint="eastAsia"/>
          <w:sz w:val="32"/>
          <w:szCs w:val="32"/>
        </w:rPr>
        <w:t>鼓励行业协会等社会团体协同相关市场主体制定并推广高于推荐性标准、相关技术要求的团体标准，吸引行业头部企业参与制订以及入驻金水</w:t>
      </w:r>
      <w:r>
        <w:rPr>
          <w:rFonts w:ascii="仿宋" w:eastAsia="仿宋"/>
          <w:sz w:val="32"/>
          <w:szCs w:val="32"/>
        </w:rPr>
        <w:t>区</w:t>
      </w:r>
      <w:r>
        <w:rPr>
          <w:rFonts w:ascii="仿宋" w:eastAsia="仿宋" w:hint="eastAsia"/>
          <w:sz w:val="32"/>
          <w:szCs w:val="32"/>
        </w:rPr>
        <w:t>。凡社会资源采用并在省级范围内推广的，并经社会团体自愿向第三方机构申请开展团体标准化良好行为评价，获得良级以上等级评价的，一次性给予行业协会20万元推广补助。”</w:t>
      </w:r>
    </w:p>
    <w:p>
      <w:pPr>
        <w:ind w:left="0"/>
        <w:rPr>
          <w:rFonts w:ascii="楷体" w:eastAsia="楷体" w:cs="仿宋"/>
          <w:bCs/>
          <w:sz w:val="32"/>
          <w:szCs w:val="32"/>
        </w:rPr>
      </w:pPr>
      <w:r>
        <w:rPr>
          <w:rFonts w:ascii="仿宋_GB2312" w:eastAsia="仿宋_GB2312" w:cs="仿宋_GB2312"/>
          <w:sz w:val="32"/>
          <w:szCs w:val="32"/>
        </w:rPr>
        <w:t xml:space="preserve">    八是达到一定规模的企业可以享受资金扶持。</w:t>
      </w:r>
      <w:r>
        <w:rPr>
          <w:rFonts w:ascii="仿宋_GB2312" w:eastAsia="仿宋_GB2312" w:cs="仿宋_GB2312" w:hint="eastAsia"/>
          <w:b/>
          <w:bCs/>
          <w:sz w:val="32"/>
          <w:szCs w:val="32"/>
        </w:rPr>
        <w:t>“</w:t>
      </w:r>
      <w:r>
        <w:rPr>
          <w:rFonts w:ascii="仿宋_GB2312" w:eastAsia="仿宋_GB2312" w:cs="仿宋_GB2312"/>
          <w:b/>
          <w:bCs/>
          <w:sz w:val="32"/>
          <w:szCs w:val="32"/>
        </w:rPr>
        <w:t>第10条</w:t>
      </w:r>
      <w:r>
        <w:rPr>
          <w:rFonts w:ascii="仿宋_GB2312" w:eastAsia="仿宋_GB2312" w:cs="仿宋_GB2312" w:hint="eastAsia"/>
          <w:b/>
          <w:bCs/>
          <w:sz w:val="32"/>
          <w:szCs w:val="32"/>
        </w:rPr>
        <w:t>”</w:t>
      </w:r>
      <w:r>
        <w:rPr>
          <w:rFonts w:ascii="仿宋_GB2312" w:eastAsia="仿宋_GB2312" w:cs="仿宋_GB2312"/>
          <w:sz w:val="32"/>
          <w:szCs w:val="32"/>
        </w:rPr>
        <w:t>是对企业的资金扶持。</w:t>
      </w:r>
      <w:r>
        <w:rPr>
          <w:rFonts w:ascii="仿宋_GB2312" w:eastAsia="仿宋_GB2312" w:cs="仿宋_GB2312" w:hint="eastAsia"/>
          <w:sz w:val="32"/>
          <w:szCs w:val="32"/>
        </w:rPr>
        <w:t>“</w:t>
      </w:r>
      <w:r>
        <w:rPr>
          <w:rFonts w:ascii="仿宋" w:eastAsia="仿宋" w:cs="仿宋"/>
          <w:bCs/>
          <w:sz w:val="32"/>
          <w:szCs w:val="32"/>
        </w:rPr>
        <w:t>对</w:t>
      </w:r>
      <w:r>
        <w:rPr>
          <w:rFonts w:ascii="仿宋" w:eastAsia="仿宋"/>
          <w:bCs/>
          <w:sz w:val="32"/>
          <w:szCs w:val="32"/>
        </w:rPr>
        <w:t>年度营业收入达1000万元以上的信息服务企业和年度营业收入达500万元以上的虚拟现实企业，</w:t>
      </w:r>
      <w:r>
        <w:rPr>
          <w:rFonts w:ascii="仿宋" w:eastAsia="仿宋" w:cs="仿宋" w:hint="eastAsia"/>
          <w:bCs/>
          <w:sz w:val="32"/>
          <w:szCs w:val="32"/>
          <w:lang w:eastAsia="zh-CN"/>
        </w:rPr>
        <w:t>优先予以</w:t>
      </w:r>
      <w:r>
        <w:rPr>
          <w:rFonts w:ascii="仿宋" w:eastAsia="仿宋" w:cs="仿宋" w:hint="eastAsia"/>
          <w:bCs/>
          <w:sz w:val="32"/>
          <w:szCs w:val="32"/>
        </w:rPr>
        <w:t>股权</w:t>
      </w:r>
      <w:r>
        <w:rPr>
          <w:rFonts w:ascii="仿宋" w:eastAsia="仿宋" w:cs="仿宋" w:hint="eastAsia"/>
          <w:bCs/>
          <w:color w:val="000000"/>
          <w:sz w:val="32"/>
          <w:szCs w:val="32"/>
        </w:rPr>
        <w:t>融资和债权融资</w:t>
      </w:r>
      <w:r>
        <w:rPr>
          <w:rFonts w:ascii="仿宋" w:eastAsia="仿宋" w:cs="仿宋" w:hint="eastAsia"/>
          <w:bCs/>
          <w:sz w:val="32"/>
          <w:szCs w:val="32"/>
        </w:rPr>
        <w:t>两种方式</w:t>
      </w:r>
      <w:r>
        <w:rPr>
          <w:rFonts w:ascii="仿宋" w:eastAsia="仿宋" w:cs="仿宋"/>
          <w:bCs/>
          <w:sz w:val="32"/>
          <w:szCs w:val="32"/>
        </w:rPr>
        <w:t>的资金扶持</w:t>
      </w:r>
      <w:r>
        <w:rPr>
          <w:rFonts w:ascii="仿宋" w:eastAsia="仿宋" w:cs="仿宋" w:hint="eastAsia"/>
          <w:bCs/>
          <w:sz w:val="32"/>
          <w:szCs w:val="32"/>
        </w:rPr>
        <w:t>，原则上不超过500万元，对于有重大项目确需资金扶持的重点企业，扶持资金最高可增至1000万元。”</w:t>
      </w:r>
    </w:p>
    <w:p>
      <w:pPr>
        <w:pStyle w:val="16"/>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firstLineChars="200" w:firstLine="640"/>
        <w:jc w:val="left"/>
        <w:textAlignment w:val="auto"/>
        <w:rPr>
          <w:rFonts w:ascii="仿宋_GB2312" w:eastAsia="仿宋_GB2312" w:cs="仿宋_GB2312" w:hint="eastAsia"/>
          <w:sz w:val="32"/>
          <w:szCs w:val="32"/>
          <w:lang w:eastAsia="zh-CN"/>
        </w:rPr>
      </w:pPr>
      <w:r>
        <w:rPr>
          <w:rFonts w:ascii="仿宋_GB2312" w:eastAsia="仿宋_GB2312" w:cs="仿宋_GB2312" w:hint="eastAsia"/>
          <w:sz w:val="32"/>
          <w:szCs w:val="32"/>
          <w:lang w:eastAsia="zh-CN"/>
        </w:rPr>
        <w:t>第</w:t>
      </w:r>
      <w:r>
        <w:rPr>
          <w:rFonts w:ascii="仿宋_GB2312" w:eastAsia="仿宋_GB2312" w:cs="仿宋_GB2312"/>
          <w:sz w:val="32"/>
          <w:szCs w:val="32"/>
          <w:lang w:eastAsia="zh-CN"/>
        </w:rPr>
        <w:t>三</w:t>
      </w:r>
      <w:r>
        <w:rPr>
          <w:rFonts w:ascii="仿宋_GB2312" w:eastAsia="仿宋_GB2312" w:cs="仿宋_GB2312" w:hint="eastAsia"/>
          <w:sz w:val="32"/>
          <w:szCs w:val="32"/>
          <w:lang w:eastAsia="zh-CN"/>
        </w:rPr>
        <w:t>部分是附则。</w:t>
      </w:r>
      <w:r>
        <w:rPr>
          <w:rFonts w:ascii="仿宋_GB2312" w:eastAsia="仿宋_GB2312" w:cs="仿宋_GB2312" w:hint="eastAsia"/>
          <w:sz w:val="32"/>
          <w:szCs w:val="32"/>
        </w:rPr>
        <w:t>明确《</w:t>
      </w:r>
      <w:r>
        <w:rPr>
          <w:rFonts w:ascii="仿宋_GB2312" w:eastAsia="仿宋_GB2312" w:cs="仿宋_GB2312"/>
          <w:sz w:val="32"/>
          <w:szCs w:val="32"/>
        </w:rPr>
        <w:t>扶持</w:t>
      </w:r>
      <w:r>
        <w:rPr>
          <w:rFonts w:ascii="仿宋_GB2312" w:eastAsia="仿宋_GB2312" w:cs="仿宋_GB2312" w:hint="eastAsia"/>
          <w:sz w:val="32"/>
          <w:szCs w:val="32"/>
        </w:rPr>
        <w:t>办法》</w:t>
      </w:r>
      <w:r>
        <w:rPr>
          <w:rFonts w:ascii="仿宋_GB2312" w:eastAsia="仿宋_GB2312" w:cs="仿宋_GB2312" w:hint="eastAsia"/>
          <w:sz w:val="32"/>
          <w:szCs w:val="32"/>
          <w:lang w:eastAsia="zh-CN"/>
        </w:rPr>
        <w:t>自发布之日起</w:t>
      </w:r>
      <w:r>
        <w:rPr>
          <w:rFonts w:ascii="仿宋_GB2312" w:eastAsia="仿宋_GB2312" w:cs="仿宋_GB2312" w:hint="eastAsia"/>
          <w:sz w:val="32"/>
          <w:szCs w:val="32"/>
        </w:rPr>
        <w:t>施行</w:t>
      </w:r>
      <w:r>
        <w:rPr>
          <w:rFonts w:ascii="仿宋_GB2312" w:eastAsia="仿宋_GB2312" w:cs="仿宋_GB2312" w:hint="eastAsia"/>
          <w:sz w:val="32"/>
          <w:szCs w:val="32"/>
          <w:lang w:eastAsia="zh-CN"/>
        </w:rPr>
        <w:t>。</w:t>
      </w:r>
    </w:p>
    <w:p>
      <w:pPr>
        <w:pStyle w:val="16"/>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firstLineChars="200" w:firstLine="640"/>
        <w:jc w:val="left"/>
        <w:textAlignment w:val="auto"/>
        <w:rPr>
          <w:rFonts w:ascii="黑体" w:eastAsia="黑体" w:cs="黑体" w:hint="eastAsia"/>
          <w:b w:val="0"/>
          <w:bCs/>
          <w:sz w:val="32"/>
          <w:szCs w:val="32"/>
          <w:lang w:val="en-US" w:eastAsia="zh-CN"/>
        </w:rPr>
      </w:pPr>
      <w:r>
        <w:rPr>
          <w:rStyle w:val="15"/>
          <w:rFonts w:ascii="黑体" w:eastAsia="黑体" w:cs="黑体" w:hint="eastAsia"/>
          <w:b w:val="0"/>
          <w:bCs/>
          <w:sz w:val="32"/>
          <w:szCs w:val="32"/>
          <w:lang w:eastAsia="zh-CN"/>
        </w:rPr>
        <w:t>四</w:t>
      </w:r>
      <w:r>
        <w:rPr>
          <w:rStyle w:val="15"/>
          <w:rFonts w:ascii="黑体" w:eastAsia="黑体" w:cs="黑体" w:hint="eastAsia"/>
          <w:b w:val="0"/>
          <w:bCs/>
          <w:sz w:val="32"/>
          <w:szCs w:val="32"/>
        </w:rPr>
        <w:t>、解读机关</w:t>
      </w:r>
      <w:r>
        <w:rPr>
          <w:rStyle w:val="15"/>
          <w:rFonts w:ascii="黑体" w:eastAsia="黑体" w:cs="黑体" w:hint="eastAsia"/>
          <w:b w:val="0"/>
          <w:bCs/>
          <w:sz w:val="32"/>
          <w:szCs w:val="32"/>
          <w:lang w:eastAsia="zh-CN"/>
        </w:rPr>
        <w:t>及解读人</w:t>
      </w:r>
    </w:p>
    <w:p>
      <w:pPr>
        <w:pStyle w:val="16"/>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firstLineChars="200" w:firstLine="640"/>
        <w:jc w:val="left"/>
        <w:textAlignment w:val="auto"/>
        <w:rPr>
          <w:rFonts w:ascii="仿宋_GB2312" w:eastAsia="仿宋_GB2312" w:cs="仿宋_GB2312"/>
          <w:sz w:val="32"/>
          <w:szCs w:val="32"/>
        </w:rPr>
      </w:pPr>
      <w:r>
        <w:rPr>
          <w:rFonts w:ascii="仿宋_GB2312" w:eastAsia="仿宋_GB2312" w:cs="仿宋_GB2312" w:hint="eastAsia"/>
          <w:sz w:val="32"/>
          <w:szCs w:val="32"/>
        </w:rPr>
        <w:t>解读机关：</w:t>
      </w:r>
      <w:r>
        <w:rPr>
          <w:rFonts w:ascii="仿宋_GB2312" w:eastAsia="仿宋_GB2312" w:cs="仿宋_GB2312"/>
          <w:sz w:val="32"/>
          <w:szCs w:val="32"/>
        </w:rPr>
        <w:t>河南科技园区管委会</w:t>
      </w:r>
    </w:p>
    <w:p>
      <w:pPr>
        <w:pStyle w:val="16"/>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firstLineChars="200" w:firstLine="640"/>
        <w:jc w:val="left"/>
        <w:textAlignment w:val="auto"/>
        <w:rPr>
          <w:rFonts w:ascii="仿宋_GB2312" w:eastAsia="仿宋_GB2312" w:cs="仿宋_GB2312" w:hint="eastAsia"/>
          <w:sz w:val="32"/>
          <w:szCs w:val="32"/>
        </w:rPr>
      </w:pPr>
      <w:r>
        <w:rPr>
          <w:rFonts w:ascii="仿宋_GB2312" w:eastAsia="仿宋_GB2312" w:cs="仿宋_GB2312" w:hint="eastAsia"/>
          <w:sz w:val="32"/>
          <w:szCs w:val="32"/>
        </w:rPr>
        <w:t>解读人：</w:t>
      </w:r>
      <w:r>
        <w:rPr>
          <w:rFonts w:ascii="仿宋_GB2312" w:eastAsia="仿宋_GB2312" w:cs="仿宋_GB2312"/>
          <w:sz w:val="32"/>
          <w:szCs w:val="32"/>
        </w:rPr>
        <w:t>张成军</w:t>
      </w:r>
      <w:r>
        <w:rPr>
          <w:rFonts w:ascii="仿宋_GB2312" w:eastAsia="仿宋_GB2312" w:cs="仿宋_GB2312" w:hint="eastAsia"/>
          <w:sz w:val="32"/>
          <w:szCs w:val="32"/>
        </w:rPr>
        <w:t xml:space="preserve">   </w:t>
      </w:r>
    </w:p>
    <w:p>
      <w:pPr>
        <w:pStyle w:val="16"/>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firstLineChars="200" w:firstLine="640"/>
        <w:jc w:val="left"/>
        <w:textAlignment w:val="auto"/>
        <w:rPr>
          <w:lang w:val="en-US" w:eastAsia="zh-CN"/>
        </w:rPr>
      </w:pPr>
      <w:r>
        <w:rPr>
          <w:rFonts w:ascii="仿宋_GB2312" w:eastAsia="仿宋_GB2312" w:cs="仿宋_GB2312" w:hint="eastAsia"/>
          <w:sz w:val="32"/>
          <w:szCs w:val="32"/>
        </w:rPr>
        <w:t>联系电话：</w:t>
      </w:r>
      <w:r>
        <w:rPr>
          <w:rFonts w:ascii="仿宋_GB2312" w:eastAsia="仿宋_GB2312" w:cs="仿宋_GB2312" w:hint="eastAsia"/>
          <w:sz w:val="32"/>
          <w:szCs w:val="32"/>
          <w:lang w:val="en-US" w:eastAsia="zh-CN"/>
        </w:rPr>
        <w:t>0371-</w:t>
      </w:r>
      <w:r>
        <w:rPr>
          <w:rFonts w:ascii="仿宋_GB2312" w:eastAsia="仿宋_GB2312" w:cs="仿宋_GB2312"/>
          <w:sz w:val="32"/>
          <w:szCs w:val="32"/>
          <w:lang w:val="en-US" w:eastAsia="zh-CN"/>
        </w:rPr>
        <w:t>69393999</w:t>
      </w:r>
    </w:p>
    <w:p>
      <w:pPr>
        <w:rPr>
          <w:sz w:val="32"/>
          <w:szCs w:val="32"/>
        </w:rPr>
      </w:pPr>
    </w:p>
    <w:p>
      <w:pPr>
        <w:rPr>
          <w:rFonts w:ascii="仿宋" w:eastAsia="仿宋" w:hint="eastAsia"/>
          <w:sz w:val="32"/>
          <w:szCs w:val="32"/>
        </w:rPr>
      </w:pPr>
    </w:p>
    <w:sectPr>
      <w:footerReference w:type="default" r:id="rId2"/>
      <w:pgSz w:w="11906" w:h="16838"/>
      <w:pgMar w:top="1440" w:right="1474" w:bottom="1440" w:left="1474" w:header="851" w:footer="992" w:gutter="0"/>
      <w:pgNumType/>
      <w:docGrid w:type="lines" w:linePitch="312" w:charSpace="0"/>
    </w:sectPr>
  </w:body>
</w:document>
</file>

<file path=word/fontTable.xml><?xml version="1.0" encoding="utf-8"?>
<w:fonts xmlns:w="http://schemas.openxmlformats.org/wordprocessingml/2006/main" xmlns:r="http://schemas.openxmlformats.org/officeDocument/2006/relationships">
  <w:font w:name="黑体">
    <w:panose1 w:val="02010600030101010101"/>
    <w:charset w:val="86"/>
    <w:family w:val="auto"/>
    <w:pitch w:val="variable"/>
    <w:sig w:usb0="00000001" w:usb1="080E0000" w:usb2="00000000" w:usb3="00000000" w:csb0="00040000" w:csb1="00000000"/>
  </w:font>
  <w:font w:name="方正小标宋简体">
    <w:altName w:val="宋体"/>
    <w:panose1 w:val="00000000000000000000"/>
    <w:charset w:val="00"/>
    <w:family w:val="auto"/>
    <w:pitch w:val="variable"/>
    <w:sig w:usb0="00000000" w:usb1="00000000" w:usb2="00000000" w:usb3="00000000" w:csb0="00000000" w:csb1="00000000"/>
  </w:font>
  <w:font w:name="仿宋_GB2312">
    <w:altName w:val="仿宋"/>
    <w:panose1 w:val="00000000000000000000"/>
    <w:charset w:val="00"/>
    <w:family w:val="auto"/>
    <w:pitch w:val="variable"/>
    <w:sig w:usb0="00000000" w:usb1="00000000" w:usb2="00000000" w:usb3="00000000" w:csb0="00000000" w:csb1="00000000"/>
  </w:font>
  <w:font w:name="仿宋">
    <w:panose1 w:val="02010609060101010101"/>
    <w:charset w:val="86"/>
    <w:family w:val="auto"/>
    <w:pitch w:val="variable"/>
    <w:sig w:usb0="800002BF" w:usb1="38CF7CFA" w:usb2="00000016" w:usb3="00000000" w:csb0="00040001" w:csb1="00000000"/>
  </w:font>
  <w:font w:name="楷体">
    <w:panose1 w:val="02010609060101010101"/>
    <w:charset w:val="86"/>
    <w:family w:val="modern"/>
    <w:pitch w:val="variable"/>
    <w:sig w:usb0="800002BF" w:usb1="38CF7CFA" w:usb2="00000016" w:usb3="00000000" w:csb0="00040001" w:csb1="00000000"/>
  </w:font>
  <w:font w:name="Times New Roman">
    <w:panose1 w:val="02020603050405020304"/>
    <w:charset w:val="00"/>
    <w:family w:val="auto"/>
    <w:pitch w:val="variable"/>
    <w:sig w:usb0="00000A87" w:usb1="00000000" w:usb2="00000000" w:usb3="00000000" w:csb0="400001BF" w:csb1="DFF70000"/>
  </w:font>
  <w:font w:name="宋体">
    <w:panose1 w:val="02010600030101010101"/>
    <w:charset w:val="86"/>
    <w:family w:val="auto"/>
    <w:pitch w:val="variable"/>
    <w:sig w:usb0="00000003" w:usb1="080E0000" w:usb2="00000000" w:usb3="00000000" w:csb0="00040001" w:csb1="00000000"/>
  </w:font>
  <w:font w:name="Calibri">
    <w:panose1 w:val="020F0502020204030204"/>
    <w:charset w:val="00"/>
    <w:family w:val="auto"/>
    <w:pitch w:val="variable"/>
    <w:sig w:usb0="E00002FF" w:usb1="4000ACFF" w:usb2="00000001" w:usb3="00000000" w:csb0="2000019F" w:csb1="00000000"/>
  </w:font>
  <w:font w:name="Arial">
    <w:panose1 w:val="020B0604020202020204"/>
    <w:charset w:val="00"/>
    <w:family w:val="auto"/>
    <w:pitch w:val="variable"/>
    <w:sig w:usb0="00007A87" w:usb1="80000000" w:usb2="00000008" w:usb3="00000000" w:csb0="400001FF" w:csb1="FFFF0000"/>
  </w:font>
</w:fonts>
</file>

<file path=word/footer1.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p>
    <w:pPr>
      <w:pStyle w:val="18"/>
      <w:tabs>
        <w:tab w:val="center" w:pos="4153"/>
        <w:tab w:val="right" w:pos="8307"/>
      </w:tabs>
      <w:jc w:val="center"/>
    </w:pPr>
    <w:r>
      <w:fldChar w:fldCharType="begin"/>
    </w:r>
    <w:r>
      <w:instrText>PAGE</w:instrText>
    </w:r>
    <w:r>
      <w:fldChar w:fldCharType="separate"/>
    </w:r>
    <w:r>
      <w:t>1</w:t>
    </w:r>
    <w:r>
      <w:fldChar w:fldCharType="end"/>
    </w:r>
  </w:p>
</w:ftr>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00"/>
  <w:displayBackgroundShape/>
  <w:bordersDoNotSurroundHeader/>
  <w:bordersDoNotSurroundFooter/>
  <w:defaultTabStop w:val="420"/>
  <w:drawingGridHorizontalSpacing w:val="105"/>
  <w:drawingGridVerticalSpacing w:val="156"/>
  <w:displayHorizontalDrawingGridEvery w:val="0"/>
  <w:displayVerticalDrawingGridEvery w:val="1"/>
  <w:characterSpacingControl w:val="compressPunctuation"/>
  <w:compat>
    <w:spaceForUL/>
    <w:balanceSingleByteDoubleByteWidth/>
    <w:ulTrailSpace/>
    <w:doNotExpandShiftReturn/>
    <w:adjustLineHeightInTable/>
    <w:useAltKinsokuLineBreakRules/>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jc w:val="both"/>
    </w:pPr>
    <w:rPr>
      <w:rFonts w:ascii="Calibri" w:eastAsia="宋体" w:cs="Times New Roman" w:hAnsi="Calibri"/>
      <w:kern w:val="2"/>
      <w:sz w:val="21"/>
      <w:szCs w:val="24"/>
      <w:lang w:val="en-US" w:eastAsia="zh-CN" w:bidi="ar-SA"/>
    </w:rPr>
  </w:style>
  <w:style w:type="paragraph" w:styleId="1">
    <w:name w:val="heading 1"/>
    <w:basedOn w:val="0"/>
    <w:next w:val="0"/>
    <w:pPr>
      <w:keepNext/>
      <w:keepLines/>
      <w:widowControl w:val="0"/>
      <w:spacing w:before="340" w:after="330" w:line="578" w:lineRule="auto"/>
      <w:outlineLvl w:val="0"/>
    </w:pPr>
    <w:rPr>
      <w:b/>
      <w:kern w:val="44"/>
      <w:sz w:val="44"/>
    </w:rPr>
  </w:style>
  <w:style w:type="paragraph" w:styleId="2">
    <w:name w:val="heading 2"/>
    <w:basedOn w:val="0"/>
    <w:next w:val="0"/>
    <w:pPr>
      <w:keepNext/>
      <w:keepLines/>
      <w:widowControl w:val="0"/>
      <w:spacing w:before="260" w:after="260" w:line="415" w:lineRule="auto"/>
      <w:outlineLvl w:val="1"/>
    </w:pPr>
    <w:rPr>
      <w:rFonts w:ascii="Arial" w:eastAsia="黑体" w:hAnsi="Arial"/>
      <w:b/>
      <w:sz w:val="32"/>
    </w:rPr>
  </w:style>
  <w:style w:type="paragraph" w:styleId="3">
    <w:name w:val="heading 3"/>
    <w:basedOn w:val="0"/>
    <w:next w:val="0"/>
    <w:pPr>
      <w:keepNext/>
      <w:keepLines/>
      <w:widowControl w:val="0"/>
      <w:spacing w:before="260" w:after="260" w:line="415" w:lineRule="auto"/>
      <w:outlineLvl w:val="2"/>
    </w:pPr>
    <w:rPr>
      <w:b/>
      <w:sz w:val="32"/>
    </w:rPr>
  </w:style>
  <w:style w:type="character" w:default="1" w:styleId="10">
    <w:name w:val="Default Paragraph Font"/>
  </w:style>
  <w:style w:type="character" w:styleId="15">
    <w:name w:val="Strong"/>
    <w:rPr>
      <w:b/>
    </w:rPr>
  </w:style>
  <w:style w:type="paragraph" w:styleId="16">
    <w:name w:val="Normal (Web)"/>
    <w:pPr>
      <w:widowControl w:val="0"/>
      <w:spacing w:before="100" w:beforeAutospacing="1" w:after="100" w:afterAutospacing="1"/>
      <w:ind w:left="0" w:right="0"/>
      <w:jc w:val="left"/>
    </w:pPr>
    <w:rPr>
      <w:rFonts w:ascii="Calibri" w:eastAsia="宋体" w:cs="Times New Roman" w:hAnsi="Calibri"/>
      <w:kern w:val="0"/>
      <w:sz w:val="24"/>
      <w:szCs w:val="24"/>
      <w:lang w:val="en-US" w:eastAsia="zh-CN" w:bidi="ar-SA"/>
    </w:rPr>
  </w:style>
  <w:style w:type="paragraph" w:styleId="17">
    <w:name w:val="header"/>
    <w:basedOn w:val="0"/>
    <w:pPr>
      <w:pBdr>
        <w:bottom w:val="single" w:sz="6" w:space="1" w:color="auto"/>
      </w:pBdr>
      <w:tabs>
        <w:tab w:val="center" w:pos="4153"/>
        <w:tab w:val="right" w:pos="8307"/>
      </w:tabs>
      <w:snapToGrid w:val="0"/>
      <w:jc w:val="center"/>
    </w:pPr>
    <w:rPr>
      <w:sz w:val="18"/>
    </w:rPr>
  </w:style>
  <w:style w:type="paragraph" w:styleId="18">
    <w:name w:val="footer"/>
    <w:basedOn w:val="0"/>
    <w:pPr>
      <w:tabs>
        <w:tab w:val="center" w:pos="4153"/>
        <w:tab w:val="right" w:pos="8307"/>
      </w:tabs>
      <w:snapToGrid w:val="0"/>
      <w:jc w:val="left"/>
    </w:pPr>
    <w:rPr>
      <w:sz w:val="18"/>
    </w:rPr>
  </w:style>
  <w:style w:type="paragraph" w:styleId="19">
    <w:name w:val="Plain Text"/>
    <w:next w:val="15"/>
    <w:pPr>
      <w:widowControl w:val="0"/>
      <w:jc w:val="both"/>
    </w:pPr>
    <w:rPr>
      <w:rFonts w:ascii="宋体" w:eastAsia="仿宋_GB2312" w:cs="Times New Roman" w:hAnsi="宋体"/>
      <w:kern w:val="2"/>
      <w:sz w:val="32"/>
      <w:szCs w:val="24"/>
      <w:lang w:val="en-US" w:eastAsia="zh-CN" w:bidi="ar-SA"/>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oter" Target="footer1.xml"/><Relationship Id="rId3" Type="http://schemas.openxmlformats.org/officeDocument/2006/relationships/styles" Target="styles.xml"/><Relationship Id="rId4" Type="http://schemas.openxmlformats.org/officeDocument/2006/relationships/fontTable" Target="fontTable.xml"/></Relationships>
</file>

<file path=docProps/app.xml><?xml version="1.0" encoding="utf-8"?>
<Properties xmlns="http://schemas.openxmlformats.org/officeDocument/2006/extended-properties">
  <Template>Normal.eit</Template>
  <TotalTime>22</TotalTime>
  <Application>Yozo_Office27021597764231180</Application>
  <Pages>5</Pages>
  <Words>0</Words>
  <Characters>1819</Characters>
  <Lines>0</Lines>
  <Paragraphs>30</Paragraphs>
  <CharactersWithSpaces>2426</CharactersWithSpaces>
</Properties>
</file>

<file path=docProps/core.xml><?xml version="1.0" encoding="utf-8"?>
<cp:coreProperties xmlns:cp="http://schemas.openxmlformats.org/package/2006/metadata/core-properties" xmlns:dc="http://purl.org/dc/elements/1.1/" xmlns:dcterms="http://purl.org/dc/terms/" xmlns:xsi="http://www.w3.org/2001/XMLSchema-instance">
  <dc:creator>Administrator</dc:creator>
  <cp:lastModifiedBy>Administrator</cp:lastModifiedBy>
  <cp:revision>1</cp:revision>
  <dcterms:created xsi:type="dcterms:W3CDTF">2021-06-16T03:00:36Z</dcterms:created>
  <dcterms:modified xsi:type="dcterms:W3CDTF">2021-06-16T03:33:52Z</dcterms:modified>
</cp:coreProperties>
</file>