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7" w:rsidRDefault="008967A7" w:rsidP="008967A7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   金水区关于鼓励企业上市挂牌融资</w:t>
      </w:r>
    </w:p>
    <w:p w:rsidR="008967A7" w:rsidRDefault="008967A7" w:rsidP="008967A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的若干措施</w:t>
      </w:r>
    </w:p>
    <w:p w:rsidR="008967A7" w:rsidRDefault="008967A7" w:rsidP="008967A7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（征求意见稿）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为进一步加大金水区企业上市挂牌工作力度，鼓励企业通过资本市场规范发展、做大做强，结合金水区实际，制定本措施。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第一条</w:t>
      </w: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本措施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适用于在金水辖区内完成工商、税务、统计登记注册，主体业务所属地在金水辖区的拟上市企业和上市挂牌企业。上市挂牌融资是指在</w:t>
      </w:r>
      <w:bookmarkStart w:id="0" w:name="OLE_LINK1"/>
      <w:bookmarkStart w:id="1" w:name="OLE_LINK2"/>
      <w:bookmarkEnd w:id="0"/>
      <w:r>
        <w:rPr>
          <w:rFonts w:ascii="仿宋" w:eastAsia="仿宋" w:hAnsi="仿宋" w:cs="仿宋" w:hint="eastAsia"/>
          <w:sz w:val="32"/>
          <w:szCs w:val="32"/>
        </w:rPr>
        <w:t>境内外股票市场上市或在全国中小企业股份转让系统挂牌</w:t>
      </w:r>
      <w:bookmarkEnd w:id="1"/>
      <w:r>
        <w:rPr>
          <w:rFonts w:ascii="仿宋" w:eastAsia="仿宋" w:hAnsi="仿宋" w:cs="仿宋" w:hint="eastAsia"/>
          <w:sz w:val="32"/>
          <w:szCs w:val="32"/>
        </w:rPr>
        <w:t>（以下简称：新三板）后，利用资本市场进行融资的 行为。申请资格需满足以下条件：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（一）运作规范，企业信用记录良好，无重大违法违规行为，已纳入金水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区上市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挂牌重点企业储备库或已上市挂牌的独立法人企业；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（二）主营业务符合金水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区产业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发展布局和产业发展方向，属于重点支持或具有特色优势的行业；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（三）境内上市是指在</w:t>
      </w:r>
      <w:hyperlink r:id="rId8" w:tgtFrame="https://www.baidu.com/_blank" w:history="1">
        <w:r>
          <w:rPr>
            <w:rFonts w:ascii="仿宋" w:eastAsia="仿宋" w:hAnsi="仿宋" w:cs="仿宋" w:hint="eastAsia"/>
            <w:sz w:val="32"/>
            <w:szCs w:val="32"/>
          </w:rPr>
          <w:t>上海证券交易所</w:t>
        </w:r>
      </w:hyperlink>
      <w:r>
        <w:rPr>
          <w:rFonts w:ascii="仿宋" w:eastAsia="仿宋" w:hAnsi="仿宋" w:cs="仿宋" w:hint="eastAsia"/>
          <w:sz w:val="32"/>
          <w:szCs w:val="32"/>
        </w:rPr>
        <w:t>及深圳证券交易所首次公开发行股票上市（IPO）的企业。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境外上市是指在纽约证券交易所、纳斯达克证券交易所、香港联合交易所、伦敦证券交易所等境外主流证券交易所首次公开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发行股票上市（IPO）的企业。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　鼓励和促进企业上市应当坚持企业为主、政府引导、规范运作、积极推进的原则，通过建立重点上市挂牌后备企业库，优化营商环境，加大上市挂牌支持力度，形成储备一批、培育一批、申报一批、上市一批的工作格局。首次入选河南省重点上市后备企业库、且符合一定条件的企业，最高可申报50万元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 申请国内科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创板首次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公开发行股票上市（IPO）的企业，在获得</w:t>
      </w:r>
      <w:hyperlink r:id="rId9" w:tgtFrame="https://www.baidu.com/_blank" w:history="1">
        <w:r>
          <w:rPr>
            <w:rFonts w:ascii="仿宋" w:eastAsia="仿宋" w:hAnsi="仿宋" w:cs="仿宋" w:hint="eastAsia"/>
            <w:sz w:val="32"/>
            <w:szCs w:val="32"/>
          </w:rPr>
          <w:t>上海证券交易所</w:t>
        </w:r>
      </w:hyperlink>
      <w:r>
        <w:rPr>
          <w:rFonts w:ascii="仿宋" w:eastAsia="仿宋" w:hAnsi="仿宋" w:cs="仿宋" w:hint="eastAsia"/>
          <w:sz w:val="32"/>
          <w:szCs w:val="32"/>
        </w:rPr>
        <w:t>出具的申请受理通知书后，企业可申请200万元奖励。在获得中国证监会出具的核准首次公开发行股票的批复后，企业可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另申请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750万元奖励。  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 申请国内主板、中小板及创业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板首次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公开发行股票上市（IPO）的企业，在获得中国证监会出具的申请受理通知书后，企业可申请100万元奖励。在获得中国证监会出具的核准首次公开发行股票的批复后，企业可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另申请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650万元奖励。  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>  申请境外市场首次公开发行股票上市（IPO）的企业，给予最高600万元奖励，并在企业上市成功后给予拨付。回归主板的区内境外上市企业，参照境内上市的标准，补齐差额。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第六条</w:t>
      </w:r>
      <w:r>
        <w:rPr>
          <w:rFonts w:ascii="仿宋" w:eastAsia="仿宋" w:hAnsi="仿宋" w:cs="仿宋" w:hint="eastAsia"/>
          <w:sz w:val="32"/>
          <w:szCs w:val="32"/>
        </w:rPr>
        <w:t>  企业在新三板成功挂牌的，挂牌后3年内，按照企业通过股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转系统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进行直接融资额的3%给予奖励，最高不超过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300万元。企业成功入选新三板精选层的，给予费用补助200万元。从“新三板”转入主板、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科创板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、中小板、创业板或境外上市的企业，参照境内外上市的标准，补齐差额。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第七条 </w:t>
      </w:r>
      <w:r>
        <w:rPr>
          <w:rFonts w:ascii="仿宋" w:eastAsia="仿宋" w:hAnsi="仿宋" w:cs="仿宋" w:hint="eastAsia"/>
          <w:sz w:val="32"/>
          <w:szCs w:val="32"/>
        </w:rPr>
        <w:t xml:space="preserve"> 对于主办券商主导落户金水区的非金水区境内上市公司，每完成1家，给予主办券商项目团队最高100万元奖励；主办券商主导落户金水区的非金水区境外上市企业，每完成1家，给予主办券商项目团队最高50万元奖励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 对外地上市公司迁址金水区并完成工商登记、纳税登记变更的，参照境内外上市的标准给予奖励或补齐差额。</w:t>
      </w:r>
    </w:p>
    <w:p w:rsidR="008967A7" w:rsidRDefault="008967A7" w:rsidP="008967A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 申请享受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本措施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相关政策的企业在申报获取政府扶持政策时应遵循诚信原则，如有任何瞒报、虚报或者编造的，不能获得扶持资金或区配套服务。享受奖励后，企业必须在金水区持续经营不少于10年，对虚报经营时间或经营时间不足的，企业承诺退回所有奖补资金，并将失信违规情况纳入相关征信体系。</w:t>
      </w:r>
    </w:p>
    <w:p w:rsidR="008967A7" w:rsidRDefault="008967A7" w:rsidP="008967A7">
      <w:pPr>
        <w:ind w:firstLine="640"/>
        <w:rPr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申报、受理、审核、公示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具体奖补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流程另行制定并公布，以当年的申报指南为准。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本措施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自发布之日起施行。同类政策从高不重复享受。</w:t>
      </w:r>
      <w:r>
        <w:rPr>
          <w:rFonts w:hint="eastAsia"/>
          <w:sz w:val="32"/>
          <w:szCs w:val="32"/>
        </w:rPr>
        <w:t xml:space="preserve">  </w:t>
      </w:r>
    </w:p>
    <w:p w:rsidR="00DA17EE" w:rsidRDefault="00F43C7B">
      <w:pPr>
        <w:ind w:firstLine="640"/>
        <w:rPr>
          <w:sz w:val="32"/>
          <w:szCs w:val="32"/>
        </w:rPr>
      </w:pPr>
      <w:bookmarkStart w:id="2" w:name="_GoBack"/>
      <w:bookmarkEnd w:id="2"/>
      <w:r>
        <w:rPr>
          <w:rFonts w:hint="eastAsia"/>
          <w:sz w:val="32"/>
          <w:szCs w:val="32"/>
        </w:rPr>
        <w:t xml:space="preserve"> </w:t>
      </w:r>
    </w:p>
    <w:sectPr w:rsidR="00DA17EE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D6" w:rsidRDefault="00A326D6" w:rsidP="002430F7">
      <w:r>
        <w:separator/>
      </w:r>
    </w:p>
  </w:endnote>
  <w:endnote w:type="continuationSeparator" w:id="0">
    <w:p w:rsidR="00A326D6" w:rsidRDefault="00A326D6" w:rsidP="002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D6" w:rsidRDefault="00A326D6" w:rsidP="002430F7">
      <w:r>
        <w:separator/>
      </w:r>
    </w:p>
  </w:footnote>
  <w:footnote w:type="continuationSeparator" w:id="0">
    <w:p w:rsidR="00A326D6" w:rsidRDefault="00A326D6" w:rsidP="0024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7EE"/>
    <w:rsid w:val="002430F7"/>
    <w:rsid w:val="00385F4F"/>
    <w:rsid w:val="00704227"/>
    <w:rsid w:val="008967A7"/>
    <w:rsid w:val="00A326D6"/>
    <w:rsid w:val="00B74AB5"/>
    <w:rsid w:val="00DA17EE"/>
    <w:rsid w:val="00F43C7B"/>
    <w:rsid w:val="00F4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24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430F7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IH4RP9ATjUXGnrl4oIG_FFgiQHB-u3_rjQvDKXb6eP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IH4RP9ATjUXGnrl4oIG_FFgiQHB-u3_rjQvDKXb6eP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金水区关于鼓励企业上市挂牌融资</dc:title>
  <dc:creator>八旗宝儿</dc:creator>
  <cp:lastModifiedBy>JSQFSZ</cp:lastModifiedBy>
  <cp:revision>4</cp:revision>
  <cp:lastPrinted>2021-06-04T00:55:00Z</cp:lastPrinted>
  <dcterms:created xsi:type="dcterms:W3CDTF">2021-05-26T00:51:00Z</dcterms:created>
  <dcterms:modified xsi:type="dcterms:W3CDTF">2021-06-04T11:09:00Z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6C7E74C42A564A7AAEF55217E5229D14</vt:lpwstr>
  </property>
  <property fmtid="{D5CDD505-2E9C-101B-9397-08002B2CF9AE}" pid="4" name="KSOSaveFontToCloudKey">
    <vt:lpwstr>375023683_cloud</vt:lpwstr>
  </property>
</Properties>
</file>