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金水区鼓励楼宇经济</w:t>
      </w:r>
      <w:r>
        <w:rPr>
          <w:rFonts w:hint="eastAsia" w:eastAsia="方正小标宋简体"/>
          <w:bCs/>
          <w:color w:val="auto"/>
          <w:sz w:val="44"/>
          <w:szCs w:val="44"/>
          <w:lang w:eastAsia="zh-CN"/>
        </w:rPr>
        <w:t>高质量</w:t>
      </w:r>
      <w:r>
        <w:rPr>
          <w:rFonts w:eastAsia="方正小标宋简体"/>
          <w:bCs/>
          <w:color w:val="auto"/>
          <w:sz w:val="44"/>
          <w:szCs w:val="44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eastAsia"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专项扶持办法（试行）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eastAsia="黑体"/>
          <w:color w:val="auto"/>
          <w:kern w:val="0"/>
          <w:szCs w:val="32"/>
        </w:rPr>
      </w:pPr>
      <w:r>
        <w:rPr>
          <w:rFonts w:eastAsia="黑体"/>
          <w:color w:val="auto"/>
          <w:kern w:val="0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第一条</w:t>
      </w:r>
      <w:r>
        <w:rPr>
          <w:rFonts w:eastAsia="楷体"/>
          <w:color w:val="auto"/>
          <w:szCs w:val="32"/>
        </w:rPr>
        <w:t xml:space="preserve">  </w:t>
      </w:r>
      <w:r>
        <w:rPr>
          <w:color w:val="auto"/>
          <w:szCs w:val="32"/>
        </w:rPr>
        <w:t>为进一步发挥金水区位和资源优势，</w:t>
      </w:r>
      <w:r>
        <w:rPr>
          <w:rFonts w:hint="eastAsia"/>
          <w:color w:val="auto"/>
          <w:szCs w:val="32"/>
          <w:lang w:eastAsia="zh-CN"/>
        </w:rPr>
        <w:t>落实创新服务亮点提升</w:t>
      </w:r>
      <w:r>
        <w:rPr>
          <w:color w:val="auto"/>
          <w:szCs w:val="32"/>
        </w:rPr>
        <w:t>，加快培育特色商务楼宇，</w:t>
      </w:r>
      <w:r>
        <w:rPr>
          <w:rFonts w:hint="eastAsia"/>
          <w:color w:val="auto"/>
          <w:szCs w:val="32"/>
          <w:lang w:eastAsia="zh-CN"/>
        </w:rPr>
        <w:t>有效助推</w:t>
      </w:r>
      <w:r>
        <w:rPr>
          <w:color w:val="auto"/>
          <w:szCs w:val="32"/>
        </w:rPr>
        <w:t>楼宇经济</w:t>
      </w:r>
      <w:r>
        <w:rPr>
          <w:rFonts w:hint="eastAsia"/>
          <w:color w:val="auto"/>
          <w:szCs w:val="32"/>
          <w:lang w:eastAsia="zh-CN"/>
        </w:rPr>
        <w:t>高质量发展</w:t>
      </w:r>
      <w:r>
        <w:rPr>
          <w:color w:val="auto"/>
          <w:szCs w:val="32"/>
        </w:rPr>
        <w:t>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第二条</w:t>
      </w:r>
      <w:r>
        <w:rPr>
          <w:rFonts w:eastAsia="楷体"/>
          <w:color w:val="auto"/>
          <w:szCs w:val="32"/>
        </w:rPr>
        <w:t xml:space="preserve">  </w:t>
      </w:r>
      <w:r>
        <w:rPr>
          <w:color w:val="auto"/>
          <w:szCs w:val="32"/>
        </w:rPr>
        <w:t>本办法的扶持对象是指：建筑面积在5</w:t>
      </w:r>
      <w:r>
        <w:rPr>
          <w:rFonts w:hint="eastAsia"/>
          <w:color w:val="auto"/>
          <w:szCs w:val="32"/>
          <w:lang w:eastAsia="zh-CN"/>
        </w:rPr>
        <w:t>千</w:t>
      </w:r>
      <w:r>
        <w:rPr>
          <w:color w:val="auto"/>
          <w:szCs w:val="32"/>
        </w:rPr>
        <w:t>平方米以上的商务楼宇，楼宇运营期必须为一个完整税收年度，楼宇内入驻企业属地纳税率达到90%以上，楼宇运营良好，无重大安全事故及其它不良社会影响事件。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hint="eastAsia" w:eastAsia="黑体"/>
          <w:color w:val="auto"/>
          <w:kern w:val="0"/>
          <w:szCs w:val="32"/>
          <w:lang w:eastAsia="zh-CN"/>
        </w:rPr>
      </w:pPr>
      <w:r>
        <w:rPr>
          <w:rFonts w:eastAsia="黑体"/>
          <w:color w:val="auto"/>
          <w:kern w:val="0"/>
          <w:szCs w:val="32"/>
        </w:rPr>
        <w:t>第</w:t>
      </w:r>
      <w:r>
        <w:rPr>
          <w:rFonts w:hint="eastAsia" w:eastAsia="黑体"/>
          <w:color w:val="auto"/>
          <w:kern w:val="0"/>
          <w:szCs w:val="32"/>
          <w:lang w:eastAsia="zh-CN"/>
        </w:rPr>
        <w:t>二</w:t>
      </w:r>
      <w:r>
        <w:rPr>
          <w:rFonts w:eastAsia="黑体"/>
          <w:color w:val="auto"/>
          <w:kern w:val="0"/>
          <w:szCs w:val="32"/>
        </w:rPr>
        <w:t xml:space="preserve">章  </w:t>
      </w:r>
      <w:r>
        <w:rPr>
          <w:rFonts w:hint="eastAsia" w:eastAsia="黑体"/>
          <w:color w:val="auto"/>
          <w:kern w:val="0"/>
          <w:szCs w:val="32"/>
          <w:lang w:eastAsia="zh-CN"/>
        </w:rPr>
        <w:t>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Cs w:val="32"/>
          <w:lang w:eastAsia="zh-CN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三</w:t>
      </w:r>
      <w:r>
        <w:rPr>
          <w:rFonts w:eastAsia="黑体"/>
          <w:color w:val="auto"/>
          <w:szCs w:val="32"/>
        </w:rPr>
        <w:t>条</w:t>
      </w:r>
      <w:r>
        <w:rPr>
          <w:rFonts w:eastAsia="楷体_GB2312"/>
          <w:color w:val="auto"/>
          <w:szCs w:val="32"/>
        </w:rPr>
        <w:t xml:space="preserve">  </w:t>
      </w:r>
      <w:r>
        <w:rPr>
          <w:rFonts w:hint="eastAsia"/>
          <w:color w:val="auto"/>
          <w:szCs w:val="32"/>
          <w:lang w:eastAsia="zh-CN"/>
        </w:rPr>
        <w:t>引导培育特色楼宇。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eastAsia="zh-CN"/>
        </w:rPr>
        <w:t>（一）</w:t>
      </w:r>
      <w:r>
        <w:rPr>
          <w:color w:val="auto"/>
          <w:szCs w:val="32"/>
        </w:rPr>
        <w:t>鼓励</w:t>
      </w:r>
      <w:r>
        <w:rPr>
          <w:rFonts w:hint="eastAsia"/>
          <w:color w:val="auto"/>
          <w:szCs w:val="32"/>
        </w:rPr>
        <w:t>对楼宇整体运营管理</w:t>
      </w:r>
      <w:r>
        <w:rPr>
          <w:rFonts w:hint="eastAsia"/>
          <w:color w:val="auto"/>
          <w:szCs w:val="32"/>
          <w:lang w:eastAsia="zh-CN"/>
        </w:rPr>
        <w:t>进行特色培育</w:t>
      </w:r>
      <w:r>
        <w:rPr>
          <w:color w:val="auto"/>
          <w:szCs w:val="32"/>
        </w:rPr>
        <w:t>。</w:t>
      </w:r>
      <w:r>
        <w:rPr>
          <w:rFonts w:hint="eastAsia"/>
          <w:color w:val="auto"/>
          <w:szCs w:val="32"/>
        </w:rPr>
        <w:t>对</w:t>
      </w:r>
      <w:r>
        <w:rPr>
          <w:rFonts w:hint="eastAsia"/>
          <w:color w:val="auto"/>
          <w:szCs w:val="32"/>
          <w:lang w:eastAsia="zh-CN"/>
        </w:rPr>
        <w:t>楼宇整体产权自持或</w:t>
      </w:r>
      <w:r>
        <w:rPr>
          <w:rFonts w:hint="eastAsia"/>
          <w:color w:val="auto"/>
          <w:szCs w:val="32"/>
        </w:rPr>
        <w:t>通过整合</w:t>
      </w:r>
      <w:r>
        <w:rPr>
          <w:rFonts w:hint="eastAsia"/>
          <w:color w:val="auto"/>
          <w:szCs w:val="32"/>
          <w:lang w:eastAsia="zh-CN"/>
        </w:rPr>
        <w:t>单栋</w:t>
      </w:r>
      <w:r>
        <w:rPr>
          <w:rFonts w:hint="eastAsia"/>
          <w:color w:val="auto"/>
          <w:szCs w:val="32"/>
        </w:rPr>
        <w:t>商务楼宇进行统一</w:t>
      </w:r>
      <w:r>
        <w:rPr>
          <w:rFonts w:hint="eastAsia"/>
          <w:color w:val="auto"/>
          <w:szCs w:val="32"/>
          <w:lang w:eastAsia="zh-CN"/>
        </w:rPr>
        <w:t>租赁</w:t>
      </w:r>
      <w:r>
        <w:rPr>
          <w:rFonts w:hint="eastAsia"/>
          <w:color w:val="auto"/>
          <w:szCs w:val="32"/>
        </w:rPr>
        <w:t>管理的运营主体，自备案之日起，12个月内楼宇入驻率达到80%以上、属地纳税率达到9</w:t>
      </w:r>
      <w:r>
        <w:rPr>
          <w:rFonts w:hint="default"/>
          <w:color w:val="auto"/>
          <w:szCs w:val="32"/>
          <w:lang w:val="en-US"/>
        </w:rPr>
        <w:t>5</w:t>
      </w:r>
      <w:r>
        <w:rPr>
          <w:rFonts w:hint="eastAsia"/>
          <w:color w:val="auto"/>
          <w:szCs w:val="32"/>
        </w:rPr>
        <w:t>%以上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color w:val="auto"/>
          <w:szCs w:val="32"/>
        </w:rPr>
        <w:t>同一产业及关联企业聚集度</w:t>
      </w:r>
      <w:r>
        <w:rPr>
          <w:rFonts w:hint="eastAsia"/>
          <w:color w:val="auto"/>
          <w:szCs w:val="32"/>
          <w:lang w:eastAsia="zh-CN"/>
        </w:rPr>
        <w:t>增幅</w:t>
      </w:r>
      <w:r>
        <w:rPr>
          <w:color w:val="auto"/>
          <w:szCs w:val="32"/>
        </w:rPr>
        <w:t>达到</w:t>
      </w:r>
      <w:r>
        <w:rPr>
          <w:rFonts w:hint="eastAsia"/>
          <w:color w:val="auto"/>
          <w:szCs w:val="32"/>
          <w:lang w:val="en-US" w:eastAsia="zh-CN"/>
        </w:rPr>
        <w:t>1</w:t>
      </w:r>
      <w:r>
        <w:rPr>
          <w:color w:val="auto"/>
          <w:szCs w:val="32"/>
        </w:rPr>
        <w:t>0%以上</w:t>
      </w:r>
      <w:r>
        <w:rPr>
          <w:rFonts w:hint="eastAsia"/>
          <w:color w:val="auto"/>
          <w:szCs w:val="32"/>
        </w:rPr>
        <w:t>且楼宇年度区级</w:t>
      </w:r>
      <w:r>
        <w:rPr>
          <w:rFonts w:hint="eastAsia"/>
          <w:color w:val="auto"/>
          <w:szCs w:val="32"/>
          <w:lang w:eastAsia="zh-CN"/>
        </w:rPr>
        <w:t>经济</w:t>
      </w:r>
      <w:r>
        <w:rPr>
          <w:rFonts w:hint="eastAsia"/>
          <w:color w:val="auto"/>
          <w:szCs w:val="32"/>
        </w:rPr>
        <w:t>贡献不低于100万元，</w:t>
      </w:r>
      <w:r>
        <w:rPr>
          <w:rFonts w:hint="eastAsia"/>
          <w:color w:val="auto"/>
          <w:szCs w:val="32"/>
          <w:lang w:eastAsia="zh-CN"/>
        </w:rPr>
        <w:t>聚集度增幅面积（只核算当年度新引进区级经济贡献不低于</w:t>
      </w:r>
      <w:r>
        <w:rPr>
          <w:rFonts w:hint="eastAsia"/>
          <w:color w:val="auto"/>
          <w:szCs w:val="32"/>
          <w:lang w:val="en-US" w:eastAsia="zh-CN"/>
        </w:rPr>
        <w:t>10万元的</w:t>
      </w:r>
      <w:r>
        <w:rPr>
          <w:rFonts w:hint="eastAsia"/>
          <w:color w:val="auto"/>
          <w:szCs w:val="32"/>
          <w:lang w:eastAsia="zh-CN"/>
        </w:rPr>
        <w:t>区外企业）连续</w:t>
      </w:r>
      <w:r>
        <w:rPr>
          <w:rFonts w:hint="eastAsia"/>
          <w:color w:val="auto"/>
          <w:szCs w:val="32"/>
          <w:lang w:val="en-US" w:eastAsia="zh-CN"/>
        </w:rPr>
        <w:t>2年分别</w:t>
      </w:r>
      <w:r>
        <w:rPr>
          <w:rFonts w:hint="eastAsia"/>
          <w:color w:val="auto"/>
          <w:szCs w:val="32"/>
          <w:lang w:eastAsia="zh-CN"/>
        </w:rPr>
        <w:t>按照</w:t>
      </w:r>
      <w:r>
        <w:rPr>
          <w:rFonts w:hint="eastAsia"/>
          <w:color w:val="auto"/>
          <w:szCs w:val="32"/>
          <w:lang w:val="en-US" w:eastAsia="zh-CN"/>
        </w:rPr>
        <w:t>600</w:t>
      </w:r>
      <w:r>
        <w:rPr>
          <w:rFonts w:hint="eastAsia"/>
          <w:color w:val="auto"/>
          <w:szCs w:val="32"/>
          <w:lang w:eastAsia="zh-CN"/>
        </w:rPr>
        <w:t>元/年/平方米</w:t>
      </w:r>
      <w:r>
        <w:rPr>
          <w:rFonts w:hint="eastAsia"/>
          <w:color w:val="auto"/>
          <w:szCs w:val="32"/>
        </w:rPr>
        <w:t>租金的标准给予运营主体一次性补助。</w:t>
      </w:r>
      <w:r>
        <w:rPr>
          <w:rFonts w:hint="eastAsia"/>
          <w:color w:val="auto"/>
          <w:szCs w:val="32"/>
          <w:lang w:eastAsia="zh-CN"/>
        </w:rPr>
        <w:t>同时，自备案之日起</w:t>
      </w:r>
      <w:r>
        <w:rPr>
          <w:rFonts w:hint="eastAsia"/>
          <w:color w:val="auto"/>
          <w:szCs w:val="32"/>
          <w:lang w:val="en-US" w:eastAsia="zh-CN"/>
        </w:rPr>
        <w:t>2年内该楼宇达到特色楼宇认定条件并通过验收被区政府命名为</w:t>
      </w:r>
      <w:r>
        <w:rPr>
          <w:color w:val="auto"/>
          <w:szCs w:val="32"/>
        </w:rPr>
        <w:t xml:space="preserve">“金水区特色专业商务楼宇” </w:t>
      </w:r>
      <w:r>
        <w:rPr>
          <w:rFonts w:hint="eastAsia"/>
          <w:color w:val="auto"/>
          <w:szCs w:val="32"/>
          <w:lang w:eastAsia="zh-CN"/>
        </w:rPr>
        <w:t>、连续</w:t>
      </w:r>
      <w:r>
        <w:rPr>
          <w:rFonts w:hint="eastAsia"/>
          <w:color w:val="auto"/>
          <w:szCs w:val="32"/>
        </w:rPr>
        <w:t>区级</w:t>
      </w:r>
      <w:r>
        <w:rPr>
          <w:rFonts w:hint="eastAsia"/>
          <w:color w:val="auto"/>
          <w:szCs w:val="32"/>
          <w:lang w:eastAsia="zh-CN"/>
        </w:rPr>
        <w:t>经济</w:t>
      </w:r>
      <w:r>
        <w:rPr>
          <w:rFonts w:hint="eastAsia"/>
          <w:color w:val="auto"/>
          <w:szCs w:val="32"/>
        </w:rPr>
        <w:t>贡献不低于100万元，给予运营主体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rFonts w:hint="eastAsia"/>
          <w:color w:val="auto"/>
          <w:szCs w:val="32"/>
        </w:rPr>
        <w:t>0万元的一次性</w:t>
      </w:r>
      <w:r>
        <w:rPr>
          <w:rFonts w:hint="eastAsia"/>
          <w:color w:val="auto"/>
          <w:szCs w:val="32"/>
          <w:lang w:eastAsia="zh-CN"/>
        </w:rPr>
        <w:t>补助</w:t>
      </w:r>
      <w:r>
        <w:rPr>
          <w:rFonts w:hint="eastAsia"/>
          <w:color w:val="auto"/>
          <w:szCs w:val="32"/>
        </w:rPr>
        <w:t>。此后，在整体入驻率不低于</w:t>
      </w:r>
      <w:r>
        <w:rPr>
          <w:rFonts w:hint="eastAsia"/>
          <w:color w:val="auto"/>
          <w:szCs w:val="32"/>
          <w:lang w:val="en-US" w:eastAsia="zh-CN"/>
        </w:rPr>
        <w:t>9</w:t>
      </w:r>
      <w:r>
        <w:rPr>
          <w:rFonts w:hint="default"/>
          <w:color w:val="auto"/>
          <w:szCs w:val="32"/>
          <w:lang w:val="en-US" w:eastAsia="zh-CN"/>
        </w:rPr>
        <w:t>0</w:t>
      </w:r>
      <w:r>
        <w:rPr>
          <w:rFonts w:hint="eastAsia"/>
          <w:color w:val="auto"/>
          <w:szCs w:val="32"/>
        </w:rPr>
        <w:t>%的前提下，</w:t>
      </w:r>
      <w:r>
        <w:rPr>
          <w:rFonts w:hint="eastAsia"/>
          <w:color w:val="auto"/>
          <w:szCs w:val="32"/>
          <w:lang w:eastAsia="zh-CN"/>
        </w:rPr>
        <w:t>其特色</w:t>
      </w:r>
      <w:r>
        <w:rPr>
          <w:rFonts w:hint="eastAsia"/>
          <w:color w:val="auto"/>
          <w:szCs w:val="32"/>
        </w:rPr>
        <w:t>产业</w:t>
      </w:r>
      <w:r>
        <w:rPr>
          <w:rFonts w:hint="eastAsia"/>
          <w:color w:val="auto"/>
          <w:szCs w:val="32"/>
          <w:lang w:eastAsia="zh-CN"/>
        </w:rPr>
        <w:t>集聚比例</w:t>
      </w:r>
      <w:r>
        <w:rPr>
          <w:rFonts w:hint="eastAsia"/>
          <w:color w:val="auto"/>
          <w:szCs w:val="32"/>
        </w:rPr>
        <w:t>较上一年每增加5%，追加给予楼宇运营</w:t>
      </w:r>
      <w:r>
        <w:rPr>
          <w:rFonts w:hint="eastAsia"/>
          <w:color w:val="auto"/>
          <w:szCs w:val="32"/>
          <w:lang w:eastAsia="zh-CN"/>
        </w:rPr>
        <w:t>主体</w:t>
      </w:r>
      <w:r>
        <w:rPr>
          <w:rFonts w:hint="eastAsia"/>
          <w:color w:val="auto"/>
          <w:szCs w:val="32"/>
        </w:rPr>
        <w:t>一次性奖励</w:t>
      </w:r>
      <w:r>
        <w:rPr>
          <w:rFonts w:hint="eastAsia"/>
          <w:color w:val="auto"/>
          <w:szCs w:val="32"/>
          <w:lang w:val="en-US" w:eastAsia="zh-CN"/>
        </w:rPr>
        <w:t>1</w:t>
      </w:r>
      <w:r>
        <w:rPr>
          <w:rFonts w:hint="eastAsia"/>
          <w:color w:val="auto"/>
          <w:szCs w:val="32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eastAsia="zh-CN"/>
        </w:rPr>
        <w:t>（二）</w:t>
      </w:r>
      <w:r>
        <w:rPr>
          <w:rFonts w:hint="eastAsia"/>
          <w:color w:val="auto"/>
          <w:szCs w:val="32"/>
          <w:lang w:val="en-US" w:eastAsia="zh-CN"/>
        </w:rPr>
        <w:t>支持产业定向集聚形成特色专业楼宇。</w:t>
      </w:r>
      <w:r>
        <w:rPr>
          <w:color w:val="auto"/>
          <w:szCs w:val="32"/>
        </w:rPr>
        <w:t>对符合特色化、专业化发展导向，同一产业及关联企业聚集度达到</w:t>
      </w:r>
      <w:r>
        <w:rPr>
          <w:rFonts w:hint="eastAsia"/>
          <w:color w:val="auto"/>
          <w:szCs w:val="32"/>
          <w:lang w:val="en-US" w:eastAsia="zh-CN"/>
        </w:rPr>
        <w:t>6</w:t>
      </w:r>
      <w:r>
        <w:rPr>
          <w:color w:val="auto"/>
          <w:szCs w:val="32"/>
        </w:rPr>
        <w:t>0%以上，且楼宇入驻率不低于90%的特色、专业商务楼宇，一次性给予招商主体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color w:val="auto"/>
          <w:szCs w:val="32"/>
        </w:rPr>
        <w:t>0万元的补助，并由区政府命名为“金水区特色专业商务楼宇”。</w:t>
      </w:r>
      <w:r>
        <w:rPr>
          <w:rFonts w:hint="eastAsia"/>
          <w:color w:val="auto"/>
          <w:szCs w:val="32"/>
          <w:lang w:eastAsia="zh-CN"/>
        </w:rPr>
        <w:t>同时，</w:t>
      </w:r>
      <w:r>
        <w:rPr>
          <w:rFonts w:hint="default"/>
          <w:color w:val="auto"/>
          <w:szCs w:val="32"/>
          <w:lang w:eastAsia="zh-CN"/>
        </w:rPr>
        <w:t>对入驻符合</w:t>
      </w:r>
      <w:r>
        <w:rPr>
          <w:rFonts w:hint="eastAsia"/>
          <w:color w:val="auto"/>
          <w:szCs w:val="32"/>
          <w:lang w:eastAsia="zh-CN"/>
        </w:rPr>
        <w:t>金水区</w:t>
      </w:r>
      <w:r>
        <w:rPr>
          <w:rFonts w:hint="default"/>
          <w:color w:val="auto"/>
          <w:szCs w:val="32"/>
          <w:lang w:eastAsia="zh-CN"/>
        </w:rPr>
        <w:t>引导培育特色集聚楼宇</w:t>
      </w:r>
      <w:r>
        <w:rPr>
          <w:rFonts w:hint="eastAsia"/>
          <w:color w:val="auto"/>
          <w:szCs w:val="32"/>
          <w:lang w:eastAsia="zh-CN"/>
        </w:rPr>
        <w:t>的新引进区外企业</w:t>
      </w:r>
      <w:r>
        <w:rPr>
          <w:rFonts w:hint="default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eastAsia="zh-CN"/>
        </w:rPr>
        <w:t>年度区级经济贡献不低于</w:t>
      </w:r>
      <w:r>
        <w:rPr>
          <w:rFonts w:hint="eastAsia"/>
          <w:color w:val="auto"/>
          <w:szCs w:val="32"/>
          <w:lang w:val="en-US" w:eastAsia="zh-CN"/>
        </w:rPr>
        <w:t>10万元的，连续2年分别</w:t>
      </w:r>
      <w:r>
        <w:rPr>
          <w:rFonts w:hint="default"/>
          <w:color w:val="auto"/>
          <w:szCs w:val="32"/>
          <w:lang w:eastAsia="zh-CN"/>
        </w:rPr>
        <w:t>按照其当年度区级贡献的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rFonts w:hint="default"/>
          <w:color w:val="auto"/>
          <w:szCs w:val="32"/>
          <w:lang w:val="en-US" w:eastAsia="zh-CN"/>
        </w:rPr>
        <w:t>0%给予</w:t>
      </w:r>
      <w:r>
        <w:rPr>
          <w:rFonts w:hint="eastAsia"/>
          <w:color w:val="auto"/>
          <w:szCs w:val="32"/>
          <w:lang w:val="en-US" w:eastAsia="zh-CN"/>
        </w:rPr>
        <w:t>企业一次性</w:t>
      </w:r>
      <w:r>
        <w:rPr>
          <w:rFonts w:hint="default"/>
          <w:color w:val="auto"/>
          <w:szCs w:val="32"/>
          <w:lang w:val="en-US" w:eastAsia="zh-CN"/>
        </w:rPr>
        <w:t>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四</w:t>
      </w:r>
      <w:r>
        <w:rPr>
          <w:rFonts w:eastAsia="黑体"/>
          <w:color w:val="auto"/>
          <w:szCs w:val="32"/>
        </w:rPr>
        <w:t>条</w:t>
      </w:r>
      <w:r>
        <w:rPr>
          <w:rFonts w:hint="eastAsia" w:eastAsia="黑体"/>
          <w:color w:val="auto"/>
          <w:szCs w:val="32"/>
          <w:lang w:val="en-US" w:eastAsia="zh-CN"/>
        </w:rPr>
        <w:t xml:space="preserve">  </w:t>
      </w:r>
      <w:r>
        <w:rPr>
          <w:rFonts w:hint="eastAsia"/>
          <w:color w:val="auto"/>
          <w:szCs w:val="32"/>
          <w:lang w:eastAsia="zh-CN"/>
        </w:rPr>
        <w:t>鼓励培育能量级楼宇。对于首次达到全口径贡献超亿元、区级贡献超</w:t>
      </w:r>
      <w:r>
        <w:rPr>
          <w:rFonts w:hint="default"/>
          <w:color w:val="auto"/>
          <w:szCs w:val="32"/>
          <w:lang w:val="en-US" w:eastAsia="zh-CN"/>
        </w:rPr>
        <w:t>5</w:t>
      </w:r>
      <w:r>
        <w:rPr>
          <w:rFonts w:hint="eastAsia"/>
          <w:color w:val="auto"/>
          <w:szCs w:val="32"/>
          <w:lang w:val="en-US" w:eastAsia="zh-CN"/>
        </w:rPr>
        <w:t>千万元且年度贡献增幅不低于1</w:t>
      </w:r>
      <w:r>
        <w:rPr>
          <w:color w:val="auto"/>
          <w:szCs w:val="32"/>
        </w:rPr>
        <w:t>0%</w:t>
      </w:r>
      <w:r>
        <w:rPr>
          <w:rFonts w:hint="eastAsia"/>
          <w:color w:val="auto"/>
          <w:szCs w:val="32"/>
          <w:lang w:eastAsia="zh-CN"/>
        </w:rPr>
        <w:t>的楼宇，当年度分别</w:t>
      </w:r>
      <w:r>
        <w:rPr>
          <w:rFonts w:hint="eastAsia"/>
          <w:color w:val="auto"/>
          <w:szCs w:val="32"/>
        </w:rPr>
        <w:t>给予楼宇运营管理主体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rFonts w:hint="default"/>
          <w:color w:val="auto"/>
          <w:szCs w:val="32"/>
          <w:lang w:val="en-US"/>
        </w:rPr>
        <w:t>0</w:t>
      </w:r>
      <w:r>
        <w:rPr>
          <w:rFonts w:hint="eastAsia"/>
          <w:color w:val="auto"/>
          <w:szCs w:val="32"/>
          <w:lang w:val="en-US" w:eastAsia="zh-CN"/>
        </w:rPr>
        <w:t>万元、1</w:t>
      </w:r>
      <w:r>
        <w:rPr>
          <w:rFonts w:hint="eastAsia"/>
          <w:color w:val="auto"/>
          <w:szCs w:val="32"/>
        </w:rPr>
        <w:t>0万元的一次性</w:t>
      </w:r>
      <w:r>
        <w:rPr>
          <w:rFonts w:hint="eastAsia"/>
          <w:color w:val="auto"/>
          <w:szCs w:val="32"/>
          <w:lang w:eastAsia="zh-CN"/>
        </w:rPr>
        <w:t>补助</w:t>
      </w:r>
      <w:r>
        <w:rPr>
          <w:rFonts w:hint="eastAsia"/>
          <w:color w:val="auto"/>
          <w:szCs w:val="32"/>
        </w:rPr>
        <w:t>。</w:t>
      </w:r>
      <w:r>
        <w:rPr>
          <w:rFonts w:hint="eastAsia"/>
          <w:color w:val="auto"/>
          <w:szCs w:val="32"/>
          <w:lang w:eastAsia="zh-CN"/>
        </w:rPr>
        <w:t>同时，</w:t>
      </w:r>
      <w:r>
        <w:rPr>
          <w:color w:val="auto"/>
          <w:szCs w:val="32"/>
        </w:rPr>
        <w:t>由区政府命名授牌</w:t>
      </w:r>
      <w:r>
        <w:rPr>
          <w:rFonts w:hint="eastAsia"/>
          <w:color w:val="auto"/>
          <w:szCs w:val="32"/>
          <w:lang w:eastAsia="zh-CN"/>
        </w:rPr>
        <w:t>为“金水区楼宇经济发展出彩先锋”</w:t>
      </w:r>
      <w:r>
        <w:rPr>
          <w:color w:val="auto"/>
          <w:szCs w:val="32"/>
        </w:rPr>
        <w:t>，予以表彰。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hint="eastAsia" w:eastAsia="黑体"/>
          <w:color w:val="auto"/>
          <w:kern w:val="0"/>
          <w:szCs w:val="32"/>
          <w:lang w:eastAsia="zh-CN"/>
        </w:rPr>
      </w:pPr>
      <w:r>
        <w:rPr>
          <w:rFonts w:eastAsia="黑体"/>
          <w:color w:val="auto"/>
          <w:kern w:val="0"/>
          <w:szCs w:val="32"/>
        </w:rPr>
        <w:t>第</w:t>
      </w:r>
      <w:r>
        <w:rPr>
          <w:rFonts w:hint="eastAsia" w:eastAsia="黑体"/>
          <w:color w:val="auto"/>
          <w:kern w:val="0"/>
          <w:szCs w:val="32"/>
          <w:lang w:eastAsia="zh-CN"/>
        </w:rPr>
        <w:t>三</w:t>
      </w:r>
      <w:r>
        <w:rPr>
          <w:rFonts w:eastAsia="黑体"/>
          <w:color w:val="auto"/>
          <w:kern w:val="0"/>
          <w:szCs w:val="32"/>
        </w:rPr>
        <w:t xml:space="preserve">章  </w:t>
      </w:r>
      <w:r>
        <w:rPr>
          <w:rFonts w:hint="eastAsia" w:eastAsia="黑体"/>
          <w:color w:val="auto"/>
          <w:kern w:val="0"/>
          <w:szCs w:val="32"/>
          <w:lang w:eastAsia="zh-CN"/>
        </w:rPr>
        <w:t>改造焕新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eastAsia="楷体_GB2312"/>
          <w:color w:val="auto"/>
          <w:szCs w:val="32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五</w:t>
      </w:r>
      <w:r>
        <w:rPr>
          <w:rFonts w:eastAsia="黑体"/>
          <w:color w:val="auto"/>
          <w:szCs w:val="32"/>
        </w:rPr>
        <w:t>条</w:t>
      </w:r>
      <w:r>
        <w:rPr>
          <w:rFonts w:eastAsia="楷体_GB2312"/>
          <w:color w:val="auto"/>
          <w:szCs w:val="32"/>
        </w:rPr>
        <w:t xml:space="preserve">  </w:t>
      </w:r>
      <w:r>
        <w:rPr>
          <w:color w:val="auto"/>
          <w:szCs w:val="32"/>
        </w:rPr>
        <w:t>支持</w:t>
      </w:r>
      <w:r>
        <w:rPr>
          <w:rFonts w:hint="eastAsia"/>
          <w:color w:val="auto"/>
          <w:szCs w:val="32"/>
          <w:lang w:eastAsia="zh-CN"/>
        </w:rPr>
        <w:t>老旧</w:t>
      </w:r>
      <w:r>
        <w:rPr>
          <w:color w:val="auto"/>
          <w:szCs w:val="32"/>
        </w:rPr>
        <w:t>楼宇改造更新</w:t>
      </w:r>
      <w:r>
        <w:rPr>
          <w:rFonts w:eastAsia="楷体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（一）</w:t>
      </w:r>
      <w:r>
        <w:rPr>
          <w:color w:val="auto"/>
          <w:szCs w:val="32"/>
        </w:rPr>
        <w:t>对投入使用五年以上、连续两年区级经济贡献达到100万元以上的商务楼宇实施</w:t>
      </w:r>
      <w:r>
        <w:rPr>
          <w:rFonts w:hint="eastAsia"/>
          <w:color w:val="auto"/>
          <w:szCs w:val="32"/>
          <w:lang w:eastAsia="zh-CN"/>
        </w:rPr>
        <w:t>公共区域（</w:t>
      </w:r>
      <w:r>
        <w:rPr>
          <w:color w:val="auto"/>
          <w:szCs w:val="32"/>
        </w:rPr>
        <w:t>办公区电梯</w:t>
      </w:r>
      <w:r>
        <w:rPr>
          <w:rFonts w:hint="eastAsia"/>
          <w:color w:val="auto"/>
          <w:szCs w:val="32"/>
          <w:lang w:eastAsia="zh-CN"/>
        </w:rPr>
        <w:t>、停车场、消防安防技防、信息化智能系统、</w:t>
      </w:r>
      <w:r>
        <w:rPr>
          <w:rFonts w:hint="eastAsia"/>
          <w:color w:val="auto"/>
          <w:szCs w:val="32"/>
        </w:rPr>
        <w:t>外立面、</w:t>
      </w:r>
      <w:r>
        <w:rPr>
          <w:rFonts w:hint="eastAsia"/>
          <w:color w:val="auto"/>
          <w:szCs w:val="32"/>
          <w:lang w:eastAsia="zh-CN"/>
        </w:rPr>
        <w:t>大厅、外部绿地或空中花园、</w:t>
      </w:r>
      <w:r>
        <w:rPr>
          <w:rFonts w:hint="eastAsia"/>
          <w:color w:val="auto"/>
          <w:szCs w:val="32"/>
        </w:rPr>
        <w:t>夜景照明</w:t>
      </w:r>
      <w:r>
        <w:rPr>
          <w:rFonts w:hint="eastAsia"/>
          <w:color w:val="auto"/>
          <w:szCs w:val="32"/>
          <w:lang w:eastAsia="zh-CN"/>
        </w:rPr>
        <w:t>等）改造更新</w:t>
      </w:r>
      <w:r>
        <w:rPr>
          <w:color w:val="auto"/>
          <w:szCs w:val="32"/>
        </w:rPr>
        <w:t>，且使用性质不变的，投资额在</w:t>
      </w:r>
      <w:r>
        <w:rPr>
          <w:rFonts w:hint="eastAsia"/>
          <w:color w:val="auto"/>
          <w:szCs w:val="32"/>
          <w:lang w:val="en-US" w:eastAsia="zh-CN"/>
        </w:rPr>
        <w:t>50万元（含）—100万元的，</w:t>
      </w:r>
      <w:r>
        <w:rPr>
          <w:color w:val="auto"/>
          <w:szCs w:val="32"/>
        </w:rPr>
        <w:t>按照实际投资额</w:t>
      </w:r>
      <w:r>
        <w:rPr>
          <w:rFonts w:hint="eastAsia"/>
          <w:color w:val="auto"/>
          <w:szCs w:val="32"/>
          <w:lang w:val="en-US" w:eastAsia="zh-CN"/>
        </w:rPr>
        <w:t>4</w:t>
      </w:r>
      <w:r>
        <w:rPr>
          <w:color w:val="auto"/>
          <w:szCs w:val="32"/>
        </w:rPr>
        <w:t>0%的比例对投资主体给予补助</w:t>
      </w:r>
      <w:r>
        <w:rPr>
          <w:rFonts w:hint="eastAsia"/>
          <w:color w:val="auto"/>
          <w:szCs w:val="32"/>
          <w:lang w:eastAsia="zh-CN"/>
        </w:rPr>
        <w:t>；投资额不低于</w:t>
      </w:r>
      <w:r>
        <w:rPr>
          <w:color w:val="auto"/>
          <w:szCs w:val="32"/>
        </w:rPr>
        <w:t>100万元</w:t>
      </w:r>
      <w:r>
        <w:rPr>
          <w:rFonts w:hint="eastAsia"/>
          <w:color w:val="auto"/>
          <w:szCs w:val="32"/>
          <w:lang w:eastAsia="zh-CN"/>
        </w:rPr>
        <w:t>的，</w:t>
      </w:r>
      <w:r>
        <w:rPr>
          <w:color w:val="auto"/>
          <w:szCs w:val="32"/>
        </w:rPr>
        <w:t>按照实际投资额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color w:val="auto"/>
          <w:szCs w:val="32"/>
        </w:rPr>
        <w:t>0%的比例对投资主体给予补助</w:t>
      </w:r>
      <w:r>
        <w:rPr>
          <w:rFonts w:hint="eastAsia"/>
          <w:color w:val="auto"/>
          <w:szCs w:val="32"/>
          <w:lang w:eastAsia="zh-CN"/>
        </w:rPr>
        <w:t>，最高不超过</w:t>
      </w:r>
      <w:r>
        <w:rPr>
          <w:rFonts w:hint="default"/>
          <w:color w:val="auto"/>
          <w:szCs w:val="32"/>
          <w:lang w:val="en-US" w:eastAsia="zh-CN"/>
        </w:rPr>
        <w:t>1</w:t>
      </w:r>
      <w:r>
        <w:rPr>
          <w:rFonts w:hint="eastAsia"/>
          <w:color w:val="auto"/>
          <w:szCs w:val="32"/>
          <w:lang w:val="en-US" w:eastAsia="zh-CN"/>
        </w:rPr>
        <w:t>00万元。改造后投入使用一年，楼宇年度区级贡献增幅不低于1</w:t>
      </w:r>
      <w:r>
        <w:rPr>
          <w:color w:val="auto"/>
          <w:szCs w:val="32"/>
        </w:rPr>
        <w:t>0%</w:t>
      </w:r>
      <w:r>
        <w:rPr>
          <w:rFonts w:hint="eastAsia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（二）</w:t>
      </w:r>
      <w:r>
        <w:rPr>
          <w:rFonts w:hint="eastAsia"/>
          <w:color w:val="auto"/>
          <w:szCs w:val="32"/>
        </w:rPr>
        <w:t>对通过整合</w:t>
      </w:r>
      <w:r>
        <w:rPr>
          <w:rFonts w:hint="eastAsia"/>
          <w:color w:val="auto"/>
          <w:szCs w:val="32"/>
          <w:lang w:eastAsia="zh-CN"/>
        </w:rPr>
        <w:t>单栋</w:t>
      </w:r>
      <w:r>
        <w:rPr>
          <w:color w:val="auto"/>
          <w:szCs w:val="32"/>
        </w:rPr>
        <w:t>投入使用五年以上的商务楼宇</w:t>
      </w:r>
      <w:r>
        <w:rPr>
          <w:rFonts w:hint="eastAsia"/>
          <w:color w:val="auto"/>
          <w:szCs w:val="32"/>
        </w:rPr>
        <w:t>，</w:t>
      </w:r>
      <w:r>
        <w:rPr>
          <w:rFonts w:hint="eastAsia"/>
          <w:color w:val="auto"/>
          <w:szCs w:val="32"/>
          <w:lang w:eastAsia="zh-CN"/>
        </w:rPr>
        <w:t>按照每平方米不低于</w:t>
      </w:r>
      <w:r>
        <w:rPr>
          <w:rFonts w:hint="eastAsia"/>
          <w:color w:val="auto"/>
          <w:szCs w:val="32"/>
          <w:lang w:val="en-US" w:eastAsia="zh-CN"/>
        </w:rPr>
        <w:t>1000元的标准</w:t>
      </w:r>
      <w:r>
        <w:rPr>
          <w:rFonts w:hint="eastAsia"/>
          <w:color w:val="auto"/>
          <w:szCs w:val="32"/>
        </w:rPr>
        <w:t>进行统一</w:t>
      </w:r>
      <w:r>
        <w:rPr>
          <w:rFonts w:hint="eastAsia"/>
          <w:color w:val="auto"/>
          <w:szCs w:val="32"/>
          <w:lang w:eastAsia="zh-CN"/>
        </w:rPr>
        <w:t>装修</w:t>
      </w:r>
      <w:r>
        <w:rPr>
          <w:rFonts w:hint="eastAsia"/>
          <w:color w:val="auto"/>
          <w:szCs w:val="32"/>
        </w:rPr>
        <w:t>和管理的运营主体，</w:t>
      </w:r>
      <w:r>
        <w:rPr>
          <w:rFonts w:hint="eastAsia"/>
          <w:color w:val="auto"/>
          <w:szCs w:val="32"/>
          <w:lang w:eastAsia="zh-CN"/>
        </w:rPr>
        <w:t>给予运营主体每平方米</w:t>
      </w:r>
      <w:r>
        <w:rPr>
          <w:rFonts w:hint="eastAsia"/>
          <w:color w:val="auto"/>
          <w:szCs w:val="32"/>
          <w:lang w:val="en-US" w:eastAsia="zh-CN"/>
        </w:rPr>
        <w:t>500元的一次性装修补助。改造后投入使用一年，年度区级贡献不低于</w:t>
      </w:r>
      <w:r>
        <w:rPr>
          <w:rFonts w:hint="default"/>
          <w:color w:val="auto"/>
          <w:szCs w:val="32"/>
          <w:lang w:val="en-US" w:eastAsia="zh-CN"/>
        </w:rPr>
        <w:t>500</w:t>
      </w:r>
      <w:r>
        <w:rPr>
          <w:rFonts w:hint="eastAsia"/>
          <w:color w:val="auto"/>
          <w:szCs w:val="32"/>
          <w:lang w:val="en-US" w:eastAsia="zh-CN"/>
        </w:rPr>
        <w:t>元</w:t>
      </w:r>
      <w:r>
        <w:rPr>
          <w:rFonts w:hint="default"/>
          <w:color w:val="auto"/>
          <w:szCs w:val="32"/>
          <w:lang w:val="en-US" w:eastAsia="zh-CN"/>
        </w:rPr>
        <w:t>/</w:t>
      </w:r>
      <w:r>
        <w:rPr>
          <w:rFonts w:hint="eastAsia"/>
          <w:color w:val="auto"/>
          <w:szCs w:val="32"/>
          <w:lang w:val="en-US"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  <w:szCs w:val="32"/>
          <w:lang w:eastAsia="zh-CN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六</w:t>
      </w:r>
      <w:r>
        <w:rPr>
          <w:rFonts w:eastAsia="黑体"/>
          <w:color w:val="auto"/>
          <w:szCs w:val="32"/>
        </w:rPr>
        <w:t>条</w:t>
      </w:r>
      <w:r>
        <w:rPr>
          <w:rFonts w:hint="eastAsia" w:eastAsia="黑体"/>
          <w:color w:val="auto"/>
          <w:szCs w:val="32"/>
          <w:lang w:val="en-US" w:eastAsia="zh-CN"/>
        </w:rPr>
        <w:t xml:space="preserve">  </w:t>
      </w:r>
      <w:r>
        <w:rPr>
          <w:rFonts w:hint="eastAsia"/>
          <w:color w:val="auto"/>
          <w:szCs w:val="32"/>
          <w:lang w:eastAsia="zh-CN"/>
        </w:rPr>
        <w:t>鼓励提高商务楼宇自持率。对金水区商务楼宇业主（开发主体或投资主体）自持并统一运营面积达</w:t>
      </w:r>
      <w:r>
        <w:rPr>
          <w:rFonts w:hint="eastAsia"/>
          <w:color w:val="auto"/>
          <w:szCs w:val="32"/>
          <w:lang w:val="en-US" w:eastAsia="zh-CN"/>
        </w:rPr>
        <w:t>5千</w:t>
      </w:r>
      <w:r>
        <w:rPr>
          <w:rFonts w:hint="eastAsia"/>
          <w:color w:val="auto"/>
          <w:szCs w:val="32"/>
          <w:lang w:eastAsia="zh-CN"/>
        </w:rPr>
        <w:t>平方米、且入驻企业符合金水区产业定位的，连续</w:t>
      </w:r>
      <w:r>
        <w:rPr>
          <w:rFonts w:hint="eastAsia"/>
          <w:color w:val="auto"/>
          <w:szCs w:val="32"/>
          <w:lang w:val="en-US" w:eastAsia="zh-CN"/>
        </w:rPr>
        <w:t>3</w:t>
      </w:r>
      <w:r>
        <w:rPr>
          <w:rFonts w:hint="eastAsia"/>
          <w:color w:val="auto"/>
          <w:szCs w:val="32"/>
          <w:lang w:eastAsia="zh-CN"/>
        </w:rPr>
        <w:t>年按照其自主新引进区外企业年度区级贡献的</w:t>
      </w:r>
      <w:r>
        <w:rPr>
          <w:rFonts w:hint="eastAsia"/>
          <w:color w:val="auto"/>
          <w:szCs w:val="32"/>
          <w:lang w:val="en-US" w:eastAsia="zh-CN"/>
        </w:rPr>
        <w:t>50%</w:t>
      </w:r>
      <w:r>
        <w:rPr>
          <w:rFonts w:hint="eastAsia"/>
          <w:color w:val="auto"/>
          <w:szCs w:val="32"/>
          <w:lang w:eastAsia="zh-CN"/>
        </w:rPr>
        <w:t>给予业主补助；自持面积每增加</w:t>
      </w:r>
      <w:r>
        <w:rPr>
          <w:rFonts w:hint="eastAsia"/>
          <w:color w:val="auto"/>
          <w:szCs w:val="32"/>
          <w:lang w:val="en-US" w:eastAsia="zh-CN"/>
        </w:rPr>
        <w:t>5千</w:t>
      </w:r>
      <w:r>
        <w:rPr>
          <w:rFonts w:hint="eastAsia"/>
          <w:color w:val="auto"/>
          <w:szCs w:val="32"/>
          <w:lang w:eastAsia="zh-CN"/>
        </w:rPr>
        <w:t>平方米，上述奖励幅度增加</w:t>
      </w:r>
      <w:r>
        <w:rPr>
          <w:rFonts w:hint="eastAsia"/>
          <w:color w:val="auto"/>
          <w:szCs w:val="32"/>
          <w:lang w:val="en-US" w:eastAsia="zh-CN"/>
        </w:rPr>
        <w:t>5%</w:t>
      </w:r>
      <w:r>
        <w:rPr>
          <w:rFonts w:hint="eastAsia"/>
          <w:color w:val="auto"/>
          <w:szCs w:val="32"/>
          <w:lang w:eastAsia="zh-CN"/>
        </w:rPr>
        <w:t>，直至</w:t>
      </w:r>
      <w:r>
        <w:rPr>
          <w:rFonts w:hint="eastAsia"/>
          <w:color w:val="auto"/>
          <w:szCs w:val="32"/>
          <w:lang w:val="en-US" w:eastAsia="zh-CN"/>
        </w:rPr>
        <w:t>100%</w:t>
      </w:r>
      <w:r>
        <w:rPr>
          <w:rFonts w:hint="eastAsia"/>
          <w:color w:val="auto"/>
          <w:szCs w:val="32"/>
          <w:lang w:eastAsia="zh-CN"/>
        </w:rPr>
        <w:t>。自享受该扶持政策之日起，5年内不得分割出售（有国土出让合同约定的以约定为准）。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七</w:t>
      </w:r>
      <w:r>
        <w:rPr>
          <w:rFonts w:eastAsia="黑体"/>
          <w:color w:val="auto"/>
          <w:szCs w:val="32"/>
        </w:rPr>
        <w:t>条</w:t>
      </w:r>
      <w:r>
        <w:rPr>
          <w:rFonts w:hint="eastAsia" w:eastAsia="黑体"/>
          <w:color w:val="auto"/>
          <w:szCs w:val="32"/>
          <w:lang w:val="en-US" w:eastAsia="zh-CN"/>
        </w:rPr>
        <w:t xml:space="preserve">  </w:t>
      </w:r>
      <w:r>
        <w:rPr>
          <w:color w:val="auto"/>
          <w:szCs w:val="32"/>
        </w:rPr>
        <w:t>鼓励商务楼宇申请LEED认证。对通过认证级、银级、金级、铂金级商务楼宇经营单位，分别一次性给予</w:t>
      </w:r>
      <w:r>
        <w:rPr>
          <w:rFonts w:hint="eastAsia"/>
          <w:color w:val="auto"/>
          <w:szCs w:val="32"/>
          <w:lang w:val="en-US" w:eastAsia="zh-CN"/>
        </w:rPr>
        <w:t>3</w:t>
      </w:r>
      <w:r>
        <w:rPr>
          <w:color w:val="auto"/>
          <w:szCs w:val="32"/>
        </w:rPr>
        <w:t>0万元、</w:t>
      </w:r>
      <w:r>
        <w:rPr>
          <w:rFonts w:hint="eastAsia"/>
          <w:color w:val="auto"/>
          <w:szCs w:val="32"/>
          <w:lang w:val="en-US" w:eastAsia="zh-CN"/>
        </w:rPr>
        <w:t>6</w:t>
      </w:r>
      <w:r>
        <w:rPr>
          <w:color w:val="auto"/>
          <w:szCs w:val="32"/>
        </w:rPr>
        <w:t>0万元、</w:t>
      </w:r>
      <w:r>
        <w:rPr>
          <w:rFonts w:hint="eastAsia"/>
          <w:color w:val="auto"/>
          <w:szCs w:val="32"/>
          <w:lang w:val="en-US" w:eastAsia="zh-CN"/>
        </w:rPr>
        <w:t>9</w:t>
      </w:r>
      <w:r>
        <w:rPr>
          <w:color w:val="auto"/>
          <w:szCs w:val="32"/>
        </w:rPr>
        <w:t>0万元、1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color w:val="auto"/>
          <w:szCs w:val="32"/>
        </w:rPr>
        <w:t xml:space="preserve">0万元的补助。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hint="eastAsia" w:eastAsia="黑体"/>
          <w:color w:val="auto"/>
          <w:kern w:val="0"/>
          <w:szCs w:val="32"/>
          <w:lang w:eastAsia="zh-CN"/>
        </w:rPr>
      </w:pPr>
      <w:r>
        <w:rPr>
          <w:rFonts w:eastAsia="黑体"/>
          <w:color w:val="auto"/>
          <w:kern w:val="0"/>
          <w:szCs w:val="32"/>
        </w:rPr>
        <w:t>第</w:t>
      </w:r>
      <w:r>
        <w:rPr>
          <w:rFonts w:hint="eastAsia" w:eastAsia="黑体"/>
          <w:color w:val="auto"/>
          <w:kern w:val="0"/>
          <w:szCs w:val="32"/>
          <w:lang w:eastAsia="zh-CN"/>
        </w:rPr>
        <w:t>四</w:t>
      </w:r>
      <w:r>
        <w:rPr>
          <w:rFonts w:eastAsia="黑体"/>
          <w:color w:val="auto"/>
          <w:kern w:val="0"/>
          <w:szCs w:val="32"/>
        </w:rPr>
        <w:t xml:space="preserve">章  </w:t>
      </w:r>
      <w:r>
        <w:rPr>
          <w:rFonts w:hint="eastAsia" w:eastAsia="黑体"/>
          <w:color w:val="auto"/>
          <w:kern w:val="0"/>
          <w:szCs w:val="32"/>
          <w:lang w:eastAsia="zh-CN"/>
        </w:rPr>
        <w:t>优化服务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八</w:t>
      </w:r>
      <w:r>
        <w:rPr>
          <w:rFonts w:eastAsia="黑体"/>
          <w:color w:val="auto"/>
          <w:szCs w:val="32"/>
        </w:rPr>
        <w:t>条</w:t>
      </w:r>
      <w:r>
        <w:rPr>
          <w:rFonts w:eastAsia="楷体_GB2312"/>
          <w:color w:val="auto"/>
          <w:szCs w:val="32"/>
        </w:rPr>
        <w:t xml:space="preserve">  </w:t>
      </w:r>
      <w:r>
        <w:rPr>
          <w:color w:val="auto"/>
          <w:szCs w:val="32"/>
        </w:rPr>
        <w:t>支持优质物业管理服务。对聘用</w:t>
      </w:r>
      <w:r>
        <w:rPr>
          <w:rFonts w:hint="eastAsia"/>
          <w:color w:val="auto"/>
          <w:szCs w:val="32"/>
          <w:lang w:eastAsia="zh-CN"/>
        </w:rPr>
        <w:t>国际知名</w:t>
      </w:r>
      <w:r>
        <w:rPr>
          <w:color w:val="auto"/>
          <w:szCs w:val="32"/>
        </w:rPr>
        <w:t>物管企业</w:t>
      </w:r>
      <w:r>
        <w:rPr>
          <w:rFonts w:hint="eastAsia"/>
          <w:color w:val="auto"/>
          <w:szCs w:val="32"/>
          <w:lang w:eastAsia="zh-CN"/>
        </w:rPr>
        <w:t>作为物管顾问</w:t>
      </w:r>
      <w:bookmarkStart w:id="0" w:name="_GoBack"/>
      <w:bookmarkEnd w:id="0"/>
      <w:r>
        <w:rPr>
          <w:rFonts w:hint="eastAsia"/>
          <w:color w:val="auto"/>
          <w:szCs w:val="32"/>
          <w:lang w:eastAsia="zh-CN"/>
        </w:rPr>
        <w:t>且聘用</w:t>
      </w:r>
      <w:r>
        <w:rPr>
          <w:color w:val="auto"/>
          <w:szCs w:val="32"/>
        </w:rPr>
        <w:t>时间</w:t>
      </w:r>
      <w:r>
        <w:rPr>
          <w:rFonts w:hint="eastAsia"/>
          <w:color w:val="auto"/>
          <w:szCs w:val="32"/>
          <w:lang w:eastAsia="zh-CN"/>
        </w:rPr>
        <w:t>不低于</w:t>
      </w:r>
      <w:r>
        <w:rPr>
          <w:rFonts w:hint="default"/>
          <w:color w:val="auto"/>
          <w:szCs w:val="32"/>
          <w:lang w:val="en-US" w:eastAsia="zh-CN"/>
        </w:rPr>
        <w:t>2</w:t>
      </w:r>
      <w:r>
        <w:rPr>
          <w:rFonts w:hint="eastAsia"/>
          <w:color w:val="auto"/>
          <w:szCs w:val="32"/>
          <w:lang w:val="en-US" w:eastAsia="zh-CN"/>
        </w:rPr>
        <w:t>年的</w:t>
      </w:r>
      <w:r>
        <w:rPr>
          <w:color w:val="auto"/>
          <w:szCs w:val="32"/>
        </w:rPr>
        <w:t>，一次性给予聘用方20万元的补助。</w:t>
      </w:r>
      <w:r>
        <w:rPr>
          <w:rFonts w:hint="eastAsia"/>
          <w:color w:val="auto"/>
          <w:szCs w:val="32"/>
          <w:lang w:eastAsia="zh-CN"/>
        </w:rPr>
        <w:t>聘用国际知名</w:t>
      </w:r>
      <w:r>
        <w:rPr>
          <w:color w:val="auto"/>
          <w:szCs w:val="32"/>
        </w:rPr>
        <w:t>物管企业</w:t>
      </w:r>
      <w:r>
        <w:rPr>
          <w:rFonts w:hint="eastAsia"/>
          <w:color w:val="auto"/>
          <w:szCs w:val="32"/>
          <w:lang w:eastAsia="zh-CN"/>
        </w:rPr>
        <w:t>作为物业管理方且聘用时间不低于</w:t>
      </w:r>
      <w:r>
        <w:rPr>
          <w:rFonts w:hint="default"/>
          <w:color w:val="auto"/>
          <w:szCs w:val="32"/>
          <w:lang w:val="en-US" w:eastAsia="zh-CN"/>
        </w:rPr>
        <w:t>2</w:t>
      </w:r>
      <w:r>
        <w:rPr>
          <w:rFonts w:hint="eastAsia"/>
          <w:color w:val="auto"/>
          <w:szCs w:val="32"/>
          <w:lang w:val="en-US" w:eastAsia="zh-CN"/>
        </w:rPr>
        <w:t>年的，一次性给予聘用方</w:t>
      </w:r>
      <w:r>
        <w:rPr>
          <w:rFonts w:hint="default"/>
          <w:color w:val="auto"/>
          <w:szCs w:val="32"/>
          <w:lang w:val="en-US" w:eastAsia="zh-CN"/>
        </w:rPr>
        <w:t>5</w:t>
      </w:r>
      <w:r>
        <w:rPr>
          <w:rFonts w:hint="eastAsia"/>
          <w:color w:val="auto"/>
          <w:szCs w:val="32"/>
          <w:lang w:val="en-US" w:eastAsia="zh-CN"/>
        </w:rPr>
        <w:t>0万元的补助。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color w:val="auto"/>
          <w:szCs w:val="32"/>
        </w:rPr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九</w:t>
      </w:r>
      <w:r>
        <w:rPr>
          <w:rFonts w:eastAsia="黑体"/>
          <w:color w:val="auto"/>
          <w:szCs w:val="32"/>
        </w:rPr>
        <w:t>条</w:t>
      </w:r>
      <w:r>
        <w:rPr>
          <w:rFonts w:eastAsia="楷体_GB2312"/>
          <w:color w:val="auto"/>
          <w:szCs w:val="32"/>
        </w:rPr>
        <w:t xml:space="preserve">  </w:t>
      </w:r>
      <w:r>
        <w:rPr>
          <w:color w:val="auto"/>
          <w:szCs w:val="32"/>
        </w:rPr>
        <w:t>做好楼宇服务保障。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（一）支持创建楼宇服务站。鼓励办事处联合第三方建立楼宇服务站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，对于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通过“线上+线下”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等多种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方式深度服务区域内楼宇，构建专业政企服务站（服务站面积不低于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平方米，为区域内至少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栋商务楼宇提供服务，年度服务楼宇企业不低于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家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其中线下有效解决问题的企业数占比不低于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1/5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并成为推广试点的运营主体给予一次性50万元补助。同时，</w:t>
      </w:r>
      <w:r>
        <w:rPr>
          <w:rFonts w:hint="eastAsia"/>
          <w:color w:val="auto"/>
          <w:szCs w:val="32"/>
          <w:lang w:eastAsia="zh-CN"/>
        </w:rPr>
        <w:t>按照其新引进区外企业（年度区级经济贡献不低于</w:t>
      </w:r>
      <w:r>
        <w:rPr>
          <w:rFonts w:hint="eastAsia"/>
          <w:color w:val="auto"/>
          <w:szCs w:val="32"/>
          <w:lang w:val="en-US" w:eastAsia="zh-CN"/>
        </w:rPr>
        <w:t>10万元</w:t>
      </w:r>
      <w:r>
        <w:rPr>
          <w:rFonts w:hint="eastAsia"/>
          <w:color w:val="auto"/>
          <w:szCs w:val="32"/>
          <w:lang w:eastAsia="zh-CN"/>
        </w:rPr>
        <w:t>）</w:t>
      </w:r>
      <w:r>
        <w:rPr>
          <w:rFonts w:hint="default"/>
          <w:color w:val="auto"/>
          <w:szCs w:val="32"/>
          <w:lang w:eastAsia="zh-CN"/>
        </w:rPr>
        <w:t>当年度区级贡献的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rFonts w:hint="default"/>
          <w:color w:val="auto"/>
          <w:szCs w:val="32"/>
          <w:lang w:val="en-US" w:eastAsia="zh-CN"/>
        </w:rPr>
        <w:t>0%给予</w:t>
      </w:r>
      <w:r>
        <w:rPr>
          <w:rFonts w:hint="eastAsia"/>
          <w:color w:val="auto"/>
          <w:szCs w:val="32"/>
          <w:lang w:val="en-US" w:eastAsia="zh-CN"/>
        </w:rPr>
        <w:t>运营主体一次性</w:t>
      </w:r>
      <w:r>
        <w:rPr>
          <w:rFonts w:hint="default"/>
          <w:color w:val="auto"/>
          <w:szCs w:val="32"/>
          <w:lang w:val="en-US" w:eastAsia="zh-CN"/>
        </w:rPr>
        <w:t>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szCs w:val="32"/>
        </w:rPr>
        <w:t>重点监管楼宇的物业管理企业指定一人</w:t>
      </w:r>
      <w:r>
        <w:rPr>
          <w:rFonts w:hint="eastAsia"/>
          <w:szCs w:val="32"/>
          <w:lang w:eastAsia="zh-CN"/>
        </w:rPr>
        <w:t>作为</w:t>
      </w:r>
      <w:r>
        <w:rPr>
          <w:rFonts w:hint="eastAsia"/>
          <w:color w:val="auto"/>
          <w:szCs w:val="32"/>
          <w:lang w:eastAsia="zh-CN"/>
        </w:rPr>
        <w:t>楼宇联络员</w:t>
      </w:r>
      <w:r>
        <w:rPr>
          <w:szCs w:val="32"/>
        </w:rPr>
        <w:t>与所在街道楼宇办对接，能够尽职完成交办任务的，</w:t>
      </w:r>
      <w:r>
        <w:rPr>
          <w:color w:val="auto"/>
          <w:szCs w:val="32"/>
        </w:rPr>
        <w:t>每栋重点楼宇每月给予</w:t>
      </w:r>
      <w:r>
        <w:rPr>
          <w:rFonts w:hint="eastAsia"/>
          <w:color w:val="auto"/>
          <w:szCs w:val="32"/>
          <w:lang w:val="en-US" w:eastAsia="zh-CN"/>
        </w:rPr>
        <w:t>5</w:t>
      </w:r>
      <w:r>
        <w:rPr>
          <w:color w:val="auto"/>
          <w:szCs w:val="32"/>
        </w:rPr>
        <w:t>00元的</w:t>
      </w:r>
      <w:r>
        <w:rPr>
          <w:rFonts w:hint="eastAsia"/>
          <w:color w:val="auto"/>
          <w:szCs w:val="32"/>
          <w:lang w:eastAsia="zh-CN"/>
        </w:rPr>
        <w:t>楼宇联络员</w:t>
      </w:r>
      <w:r>
        <w:rPr>
          <w:color w:val="auto"/>
          <w:szCs w:val="32"/>
        </w:rPr>
        <w:t>补助</w:t>
      </w:r>
      <w:r>
        <w:rPr>
          <w:rFonts w:hint="eastAsia"/>
          <w:color w:val="auto"/>
          <w:szCs w:val="32"/>
          <w:lang w:eastAsia="zh-CN"/>
        </w:rPr>
        <w:t>，由街道监管发放。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eastAsia="黑体"/>
          <w:color w:val="auto"/>
          <w:kern w:val="0"/>
          <w:szCs w:val="32"/>
        </w:rPr>
      </w:pPr>
      <w:r>
        <w:rPr>
          <w:rFonts w:eastAsia="黑体"/>
          <w:color w:val="auto"/>
          <w:kern w:val="0"/>
          <w:szCs w:val="32"/>
        </w:rPr>
        <w:t>第</w:t>
      </w:r>
      <w:r>
        <w:rPr>
          <w:rFonts w:hint="eastAsia" w:eastAsia="黑体"/>
          <w:color w:val="auto"/>
          <w:kern w:val="0"/>
          <w:szCs w:val="32"/>
          <w:lang w:eastAsia="zh-CN"/>
        </w:rPr>
        <w:t>五</w:t>
      </w:r>
      <w:r>
        <w:rPr>
          <w:rFonts w:eastAsia="黑体"/>
          <w:color w:val="auto"/>
          <w:kern w:val="0"/>
          <w:szCs w:val="32"/>
        </w:rPr>
        <w:t>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</w:pPr>
      <w:r>
        <w:rPr>
          <w:rFonts w:eastAsia="黑体"/>
          <w:color w:val="auto"/>
          <w:szCs w:val="32"/>
        </w:rPr>
        <w:t>第</w:t>
      </w:r>
      <w:r>
        <w:rPr>
          <w:rFonts w:hint="eastAsia" w:eastAsia="黑体"/>
          <w:color w:val="auto"/>
          <w:szCs w:val="32"/>
          <w:lang w:eastAsia="zh-CN"/>
        </w:rPr>
        <w:t>十</w:t>
      </w:r>
      <w:r>
        <w:rPr>
          <w:rFonts w:eastAsia="黑体"/>
          <w:color w:val="auto"/>
          <w:szCs w:val="32"/>
        </w:rPr>
        <w:t xml:space="preserve">条 </w:t>
      </w:r>
      <w:r>
        <w:rPr>
          <w:rFonts w:hint="eastAsia" w:eastAsia="黑体"/>
          <w:color w:val="auto"/>
          <w:szCs w:val="32"/>
          <w:lang w:val="en-US" w:eastAsia="zh-CN"/>
        </w:rPr>
        <w:t xml:space="preserve"> </w:t>
      </w:r>
      <w:r>
        <w:rPr>
          <w:color w:val="auto"/>
          <w:szCs w:val="32"/>
        </w:rPr>
        <w:t>本办法</w:t>
      </w:r>
      <w:r>
        <w:rPr>
          <w:rFonts w:hint="eastAsia"/>
          <w:color w:val="auto"/>
          <w:szCs w:val="32"/>
          <w:lang w:eastAsia="zh-CN"/>
        </w:rPr>
        <w:t>涉及的条款</w:t>
      </w:r>
      <w:r>
        <w:rPr>
          <w:color w:val="auto"/>
          <w:szCs w:val="32"/>
        </w:rPr>
        <w:t>由金水区楼宇经济</w:t>
      </w:r>
      <w:r>
        <w:rPr>
          <w:rFonts w:hint="eastAsia"/>
          <w:color w:val="auto"/>
          <w:szCs w:val="32"/>
          <w:lang w:eastAsia="zh-CN"/>
        </w:rPr>
        <w:t>服务中心</w:t>
      </w:r>
      <w:r>
        <w:rPr>
          <w:color w:val="auto"/>
          <w:szCs w:val="32"/>
        </w:rPr>
        <w:t>负责解释。本办法自</w:t>
      </w:r>
      <w:r>
        <w:rPr>
          <w:rFonts w:hint="eastAsia"/>
          <w:color w:val="auto"/>
          <w:szCs w:val="32"/>
          <w:lang w:eastAsia="zh-CN"/>
        </w:rPr>
        <w:t>发布</w:t>
      </w:r>
      <w:r>
        <w:rPr>
          <w:color w:val="auto"/>
          <w:szCs w:val="32"/>
        </w:rPr>
        <w:t>之日起</w:t>
      </w:r>
      <w:r>
        <w:rPr>
          <w:rFonts w:hint="eastAsia"/>
          <w:color w:val="auto"/>
          <w:szCs w:val="32"/>
          <w:lang w:eastAsia="zh-CN"/>
        </w:rPr>
        <w:t>施行</w:t>
      </w:r>
      <w:r>
        <w:rPr>
          <w:color w:val="auto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065A"/>
    <w:rsid w:val="54EB5756"/>
    <w:rsid w:val="63DE7D45"/>
    <w:rsid w:val="69E70371"/>
    <w:rsid w:val="739C60B7"/>
    <w:rsid w:val="74C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1320" w:firstLineChars="300"/>
    </w:pPr>
    <w:rPr>
      <w:rFonts w:eastAsia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1983</Words>
  <Characters>2067</Characters>
  <Paragraphs>33</Paragraphs>
  <TotalTime>6</TotalTime>
  <ScaleCrop>false</ScaleCrop>
  <LinksUpToDate>false</LinksUpToDate>
  <CharactersWithSpaces>2104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2021-04-13T02:01:00Z</dcterms:created>
  <dc:creator>Administrator</dc:creator>
  <cp:lastModifiedBy>Administrator</cp:lastModifiedBy>
  <cp:lastPrinted>2021-05-10T07:42:00Z</cp:lastPrinted>
  <dcterms:modified xsi:type="dcterms:W3CDTF">2021-05-28T03:36:51Z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d4b98d8df8e54c49b172ec60e67b9da1</vt:lpwstr>
  </property>
</Properties>
</file>